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BD635" w14:textId="77777777" w:rsidR="006F1B8D" w:rsidRPr="003B1322" w:rsidRDefault="006F1B8D" w:rsidP="006F1B8D">
      <w:pPr>
        <w:jc w:val="center"/>
        <w:rPr>
          <w:rFonts w:ascii="Cambria" w:hAnsi="Cambria"/>
          <w:b/>
          <w:bCs/>
        </w:rPr>
      </w:pPr>
      <w:r w:rsidRPr="003B1322">
        <w:rPr>
          <w:rFonts w:ascii="Cambria" w:hAnsi="Cambria"/>
          <w:b/>
          <w:bCs/>
        </w:rPr>
        <w:t>Vijzelman Fiscaal Advies – btw-aftrek, personeelskosten en de BUA</w:t>
      </w:r>
    </w:p>
    <w:p w14:paraId="5FB5AFFB" w14:textId="77777777" w:rsidR="006F1B8D" w:rsidRPr="003B1322" w:rsidRDefault="006F1B8D" w:rsidP="006F1B8D">
      <w:pPr>
        <w:rPr>
          <w:rFonts w:ascii="Cambria" w:hAnsi="Cambria"/>
          <w:b/>
          <w:bCs/>
        </w:rPr>
      </w:pPr>
    </w:p>
    <w:p w14:paraId="582D0C6B" w14:textId="77777777" w:rsidR="006F1B8D" w:rsidRDefault="006F1B8D" w:rsidP="006F1B8D">
      <w:pPr>
        <w:jc w:val="center"/>
        <w:rPr>
          <w:rFonts w:ascii="Cambria" w:hAnsi="Cambria"/>
        </w:rPr>
      </w:pPr>
      <w:r w:rsidRPr="003B1322">
        <w:rPr>
          <w:rFonts w:ascii="Cambria" w:hAnsi="Cambria"/>
        </w:rPr>
        <w:t>Btw-aftrek personeelskosten in sommige gevallen toch wél mogelijk</w:t>
      </w:r>
    </w:p>
    <w:p w14:paraId="534255B6" w14:textId="77777777" w:rsidR="006F1B8D" w:rsidRPr="003B1322" w:rsidRDefault="006F1B8D" w:rsidP="006F1B8D">
      <w:pPr>
        <w:jc w:val="center"/>
        <w:rPr>
          <w:rFonts w:ascii="Cambria" w:hAnsi="Cambria"/>
        </w:rPr>
      </w:pPr>
    </w:p>
    <w:p w14:paraId="32DF1616" w14:textId="77777777" w:rsidR="006F1B8D" w:rsidRPr="003B1322" w:rsidRDefault="006F1B8D" w:rsidP="006F1B8D">
      <w:pPr>
        <w:jc w:val="center"/>
        <w:rPr>
          <w:rFonts w:ascii="Cambria" w:hAnsi="Cambria"/>
        </w:rPr>
      </w:pPr>
      <w:r>
        <w:rPr>
          <w:rFonts w:ascii="Cambria" w:hAnsi="Cambria"/>
        </w:rPr>
        <w:t>De btw die u betaalt over uitgaven voor personeelsvoorzieningen, is niet altijd aftrekbaar. Toch is het tot een bepaald bedrag wel mogelijk. In dit stuk zal u worden ingelicht over uw mogelijkheden.</w:t>
      </w:r>
    </w:p>
    <w:p w14:paraId="335F2435" w14:textId="77777777" w:rsidR="006F1B8D" w:rsidRPr="003B1322" w:rsidRDefault="006F1B8D" w:rsidP="006F1B8D">
      <w:pPr>
        <w:rPr>
          <w:rFonts w:ascii="Cambria" w:hAnsi="Cambria"/>
        </w:rPr>
      </w:pPr>
    </w:p>
    <w:p w14:paraId="63FCD367" w14:textId="77777777" w:rsidR="006F1B8D" w:rsidRDefault="006F1B8D" w:rsidP="006F1B8D">
      <w:pPr>
        <w:rPr>
          <w:rFonts w:ascii="Cambria" w:hAnsi="Cambria"/>
        </w:rPr>
      </w:pPr>
    </w:p>
    <w:p w14:paraId="75470190" w14:textId="77777777" w:rsidR="006F1B8D" w:rsidRPr="003B1322" w:rsidRDefault="006F1B8D" w:rsidP="006F1B8D">
      <w:pPr>
        <w:rPr>
          <w:rFonts w:ascii="Cambria" w:hAnsi="Cambria"/>
        </w:rPr>
      </w:pPr>
    </w:p>
    <w:p w14:paraId="4013E7C6" w14:textId="77777777" w:rsidR="006F1B8D" w:rsidRPr="003B1322" w:rsidRDefault="006F1B8D" w:rsidP="006F1B8D">
      <w:pPr>
        <w:rPr>
          <w:rFonts w:ascii="Cambria" w:hAnsi="Cambria"/>
          <w:sz w:val="21"/>
          <w:szCs w:val="21"/>
        </w:rPr>
      </w:pPr>
      <w:r w:rsidRPr="003B1322">
        <w:rPr>
          <w:rFonts w:ascii="Cambria" w:hAnsi="Cambria"/>
          <w:sz w:val="21"/>
          <w:szCs w:val="21"/>
        </w:rPr>
        <w:t>Als uw als onderneming voor uw personeel wil zorgen, kost dat per werknemer vaak een aardig bedrag. Veel van deze kosten zijn specifiek uitgesloten van btw-aftrek, toch bestaan hier uitzonderingen op. In het BUA, het Besluit Uitsluiting Aftrek voorbelasting, staan deze opgenomen. Om te illustreren in welke gevallen de BUA voor u voordelig kan zijn, zullen wij van Vijzelman hieronder voor u een casus behandelen. Investeren in kennis is een noodzaak. Wij van Vijzelman Fiscaal Advies zijn gespecialiseerd in het fiscale, het civiele en het notariële recht en kunnen u dus op al deze (overlappende) gebieden van dienst zijn.</w:t>
      </w:r>
    </w:p>
    <w:p w14:paraId="56AF7783" w14:textId="77777777" w:rsidR="006F1B8D" w:rsidRPr="003B1322" w:rsidRDefault="006F1B8D" w:rsidP="006F1B8D">
      <w:pPr>
        <w:rPr>
          <w:rFonts w:ascii="Cambria" w:hAnsi="Cambria"/>
          <w:sz w:val="21"/>
          <w:szCs w:val="21"/>
        </w:rPr>
      </w:pPr>
    </w:p>
    <w:p w14:paraId="2488BB9A" w14:textId="77777777" w:rsidR="006F1B8D" w:rsidRPr="003B1322" w:rsidRDefault="006F1B8D" w:rsidP="006F1B8D">
      <w:pPr>
        <w:rPr>
          <w:rFonts w:ascii="Cambria" w:hAnsi="Cambria"/>
          <w:b/>
          <w:bCs/>
          <w:sz w:val="21"/>
          <w:szCs w:val="21"/>
        </w:rPr>
      </w:pPr>
      <w:r w:rsidRPr="003B1322">
        <w:rPr>
          <w:rFonts w:ascii="Cambria" w:hAnsi="Cambria"/>
          <w:b/>
          <w:bCs/>
          <w:sz w:val="21"/>
          <w:szCs w:val="21"/>
        </w:rPr>
        <w:t>Casus</w:t>
      </w:r>
    </w:p>
    <w:p w14:paraId="2C91C2B6" w14:textId="77777777" w:rsidR="006F1B8D" w:rsidRDefault="006F1B8D" w:rsidP="006F1B8D">
      <w:pPr>
        <w:rPr>
          <w:rFonts w:ascii="Cambria" w:hAnsi="Cambria"/>
          <w:sz w:val="21"/>
          <w:szCs w:val="21"/>
        </w:rPr>
      </w:pPr>
      <w:r w:rsidRPr="003B1322">
        <w:rPr>
          <w:rFonts w:ascii="Cambria" w:hAnsi="Cambria"/>
          <w:sz w:val="21"/>
          <w:szCs w:val="21"/>
        </w:rPr>
        <w:t>Een advocatenkantoor heeft tien</w:t>
      </w:r>
      <w:r>
        <w:rPr>
          <w:rFonts w:ascii="Cambria" w:hAnsi="Cambria"/>
          <w:sz w:val="21"/>
          <w:szCs w:val="21"/>
        </w:rPr>
        <w:t xml:space="preserve"> werknemers in dienst. Zeven van deze werknemers beschikken over een auto van de zaak. Het advocatenkantoor vindt het daarnaast ook belangrijk om een goede sfeer te creëren op de werkvloer. Er is daarom een personeelskantine waar de werknemers dagelijks hun lunch kunnen gebruiken. De inkoopprijs van de spijzen en dranken van de kantine bedragen 2500 euro (exclusief btw) per jaar. De omzet van de kantine bedraagt ook 2500 (inclusief btw).</w:t>
      </w:r>
    </w:p>
    <w:p w14:paraId="6EE789B2" w14:textId="77777777" w:rsidR="006F1B8D" w:rsidRDefault="006F1B8D" w:rsidP="006F1B8D">
      <w:pPr>
        <w:rPr>
          <w:rFonts w:ascii="Cambria" w:hAnsi="Cambria"/>
          <w:sz w:val="21"/>
          <w:szCs w:val="21"/>
        </w:rPr>
      </w:pPr>
      <w:r>
        <w:rPr>
          <w:rFonts w:ascii="Cambria" w:hAnsi="Cambria"/>
          <w:sz w:val="21"/>
          <w:szCs w:val="21"/>
        </w:rPr>
        <w:t>Om de sfeer erin te houden, organiseert het advocatenkantoor ook elk jaar een personeelsfeest waar alle personeelsleden met gezin aanwezig zijn. De kosten van dit feest bedragen 4000 euro. De werknemers krijgen jaarlijks ook een feestpakket ter waarde van 100 euro als afsluiter.</w:t>
      </w:r>
    </w:p>
    <w:p w14:paraId="439A59BD" w14:textId="77777777" w:rsidR="006F1B8D" w:rsidRDefault="006F1B8D" w:rsidP="006F1B8D">
      <w:pPr>
        <w:rPr>
          <w:rFonts w:ascii="Cambria" w:hAnsi="Cambria"/>
          <w:sz w:val="21"/>
          <w:szCs w:val="21"/>
        </w:rPr>
      </w:pPr>
    </w:p>
    <w:p w14:paraId="13718D0B" w14:textId="77777777" w:rsidR="006F1B8D" w:rsidRDefault="006F1B8D" w:rsidP="006F1B8D">
      <w:pPr>
        <w:rPr>
          <w:rFonts w:ascii="Cambria" w:hAnsi="Cambria"/>
          <w:b/>
          <w:bCs/>
          <w:sz w:val="21"/>
          <w:szCs w:val="21"/>
        </w:rPr>
      </w:pPr>
      <w:r>
        <w:rPr>
          <w:rFonts w:ascii="Cambria" w:hAnsi="Cambria"/>
          <w:b/>
          <w:bCs/>
          <w:sz w:val="21"/>
          <w:szCs w:val="21"/>
        </w:rPr>
        <w:t>Btw-gevolgen</w:t>
      </w:r>
    </w:p>
    <w:p w14:paraId="063C8942" w14:textId="77777777" w:rsidR="006F1B8D" w:rsidRDefault="006F1B8D" w:rsidP="006F1B8D">
      <w:pPr>
        <w:rPr>
          <w:rFonts w:ascii="Cambria" w:hAnsi="Cambria"/>
          <w:i/>
          <w:iCs/>
          <w:sz w:val="21"/>
          <w:szCs w:val="21"/>
        </w:rPr>
      </w:pPr>
      <w:r>
        <w:rPr>
          <w:rFonts w:ascii="Cambria" w:hAnsi="Cambria"/>
          <w:i/>
          <w:iCs/>
          <w:sz w:val="21"/>
          <w:szCs w:val="21"/>
        </w:rPr>
        <w:t>De auto’s van de zaak</w:t>
      </w:r>
    </w:p>
    <w:p w14:paraId="5B6A6D89" w14:textId="77777777" w:rsidR="006F1B8D" w:rsidRDefault="006F1B8D" w:rsidP="006F1B8D">
      <w:pPr>
        <w:rPr>
          <w:rFonts w:ascii="Cambria" w:hAnsi="Cambria"/>
          <w:sz w:val="21"/>
          <w:szCs w:val="21"/>
        </w:rPr>
      </w:pPr>
      <w:r>
        <w:rPr>
          <w:rFonts w:ascii="Cambria" w:hAnsi="Cambria"/>
          <w:sz w:val="21"/>
          <w:szCs w:val="21"/>
        </w:rPr>
        <w:t>De auto’s van de zaak zijn uitgesloten van de BUA. In de wet Omzetbelasting is wel bepaald dat de staatssecretaris aftrek van personeelskosten kan uitsluiten afzonderlijk van de BUA. Hier vallen ook de auto’s van de zaak onder. De bevoordeling van het personeel wordt gezien als een vergoeding. Deze wordt in de wet Omzetbelasting gesteld op de gemaakte kosten.</w:t>
      </w:r>
    </w:p>
    <w:p w14:paraId="1CF90254" w14:textId="77777777" w:rsidR="006F1B8D" w:rsidRDefault="006F1B8D" w:rsidP="006F1B8D">
      <w:pPr>
        <w:rPr>
          <w:rFonts w:ascii="Cambria" w:hAnsi="Cambria"/>
          <w:sz w:val="21"/>
          <w:szCs w:val="21"/>
        </w:rPr>
      </w:pPr>
    </w:p>
    <w:p w14:paraId="17DB1707" w14:textId="77777777" w:rsidR="006F1B8D" w:rsidRDefault="006F1B8D" w:rsidP="006F1B8D">
      <w:pPr>
        <w:rPr>
          <w:rFonts w:ascii="Cambria" w:hAnsi="Cambria"/>
          <w:sz w:val="21"/>
          <w:szCs w:val="21"/>
        </w:rPr>
      </w:pPr>
      <w:r>
        <w:rPr>
          <w:rFonts w:ascii="Cambria" w:hAnsi="Cambria"/>
          <w:i/>
          <w:iCs/>
          <w:sz w:val="21"/>
          <w:szCs w:val="21"/>
        </w:rPr>
        <w:t>De spijzen en dranken</w:t>
      </w:r>
    </w:p>
    <w:p w14:paraId="4B0F1819" w14:textId="77777777" w:rsidR="006F1B8D" w:rsidRDefault="006F1B8D" w:rsidP="006F1B8D">
      <w:pPr>
        <w:rPr>
          <w:rFonts w:ascii="Cambria" w:hAnsi="Cambria"/>
          <w:sz w:val="21"/>
          <w:szCs w:val="21"/>
        </w:rPr>
      </w:pPr>
      <w:r>
        <w:rPr>
          <w:rFonts w:ascii="Cambria" w:hAnsi="Cambria"/>
          <w:sz w:val="21"/>
          <w:szCs w:val="21"/>
        </w:rPr>
        <w:t>Spijzen en dranken worden specifiek genoemd in het BUA als kosten die niet (geheel) in aftrek genomen worden. Er wordt op de spijzen en dranken in bepaalde gevallen een correctie toegepast. Deze correctie is gebaseerd op de omzet die wordt behaald met de spijzen en dranken, verhoogd met 25%, minus de inkoopprijs van de spijzen en dranken.</w:t>
      </w:r>
    </w:p>
    <w:p w14:paraId="1D1C4589" w14:textId="77777777" w:rsidR="006F1B8D" w:rsidRDefault="006F1B8D" w:rsidP="006F1B8D">
      <w:pPr>
        <w:rPr>
          <w:rFonts w:ascii="Cambria" w:hAnsi="Cambria"/>
          <w:sz w:val="21"/>
          <w:szCs w:val="21"/>
        </w:rPr>
      </w:pPr>
    </w:p>
    <w:p w14:paraId="60A45310" w14:textId="77777777" w:rsidR="006F1B8D" w:rsidRDefault="006F1B8D" w:rsidP="006F1B8D">
      <w:pPr>
        <w:rPr>
          <w:rFonts w:ascii="Cambria" w:hAnsi="Cambria"/>
          <w:i/>
          <w:iCs/>
          <w:sz w:val="21"/>
          <w:szCs w:val="21"/>
        </w:rPr>
      </w:pPr>
      <w:r>
        <w:rPr>
          <w:rFonts w:ascii="Cambria" w:hAnsi="Cambria"/>
          <w:i/>
          <w:iCs/>
          <w:sz w:val="21"/>
          <w:szCs w:val="21"/>
        </w:rPr>
        <w:t>Het personeelsfeest en de kerstpakketten</w:t>
      </w:r>
    </w:p>
    <w:p w14:paraId="1B1372CB" w14:textId="77777777" w:rsidR="006F1B8D" w:rsidRDefault="006F1B8D" w:rsidP="006F1B8D">
      <w:pPr>
        <w:rPr>
          <w:rFonts w:ascii="Cambria" w:hAnsi="Cambria"/>
          <w:sz w:val="21"/>
          <w:szCs w:val="21"/>
        </w:rPr>
      </w:pPr>
      <w:r>
        <w:rPr>
          <w:rFonts w:ascii="Cambria" w:hAnsi="Cambria"/>
          <w:sz w:val="21"/>
          <w:szCs w:val="21"/>
        </w:rPr>
        <w:t>Sommige personeelskosten mogen volgens het BUA in aftrek worden genomen zolang ze onder een bepaalde drempel blijven per werknemer. Dit drempelbedrag is 227 euro. Hier zitten echter wel voorwaarden aan verbonden.</w:t>
      </w:r>
    </w:p>
    <w:p w14:paraId="54279163" w14:textId="77777777" w:rsidR="006F1B8D" w:rsidRDefault="006F1B8D" w:rsidP="006F1B8D">
      <w:pPr>
        <w:rPr>
          <w:rFonts w:ascii="Cambria" w:hAnsi="Cambria"/>
          <w:sz w:val="21"/>
          <w:szCs w:val="21"/>
        </w:rPr>
      </w:pPr>
    </w:p>
    <w:p w14:paraId="0D017349" w14:textId="77777777" w:rsidR="006F1B8D" w:rsidRDefault="006F1B8D" w:rsidP="006F1B8D">
      <w:pPr>
        <w:rPr>
          <w:rFonts w:ascii="Cambria" w:hAnsi="Cambria"/>
          <w:b/>
          <w:bCs/>
          <w:sz w:val="21"/>
          <w:szCs w:val="21"/>
        </w:rPr>
      </w:pPr>
      <w:r>
        <w:rPr>
          <w:rFonts w:ascii="Cambria" w:hAnsi="Cambria"/>
          <w:b/>
          <w:bCs/>
          <w:sz w:val="21"/>
          <w:szCs w:val="21"/>
        </w:rPr>
        <w:t>Drempelbedrag personeelsvoorzieningen</w:t>
      </w:r>
    </w:p>
    <w:p w14:paraId="0BB075B7" w14:textId="256699D1" w:rsidR="006F1B8D" w:rsidRDefault="006F1B8D" w:rsidP="006F1B8D">
      <w:pPr>
        <w:rPr>
          <w:rFonts w:ascii="Cambria" w:hAnsi="Cambria"/>
          <w:sz w:val="21"/>
          <w:szCs w:val="21"/>
        </w:rPr>
      </w:pPr>
      <w:r>
        <w:rPr>
          <w:rFonts w:ascii="Cambria" w:hAnsi="Cambria"/>
          <w:sz w:val="21"/>
          <w:szCs w:val="21"/>
        </w:rPr>
        <w:t>De bepaling van het drempelbedrag zit vaak ingewikkeld in elkaar. Hieronder zijn de verschillende situaties zo goed mogelijk weergegeven.</w:t>
      </w:r>
    </w:p>
    <w:p w14:paraId="6C27A8DC" w14:textId="77777777" w:rsidR="00CB618C" w:rsidRDefault="00CB618C" w:rsidP="006F1B8D">
      <w:pPr>
        <w:rPr>
          <w:rFonts w:ascii="Cambria" w:hAnsi="Cambria"/>
          <w:sz w:val="21"/>
          <w:szCs w:val="21"/>
        </w:rPr>
      </w:pPr>
    </w:p>
    <w:p w14:paraId="5A2A9112" w14:textId="77777777" w:rsidR="00CB618C" w:rsidRDefault="00CB618C" w:rsidP="00CB618C">
      <w:pPr>
        <w:pStyle w:val="Lijstalinea"/>
        <w:numPr>
          <w:ilvl w:val="0"/>
          <w:numId w:val="2"/>
        </w:numPr>
        <w:rPr>
          <w:rFonts w:ascii="Cambria" w:hAnsi="Cambria"/>
          <w:sz w:val="21"/>
          <w:szCs w:val="21"/>
        </w:rPr>
      </w:pPr>
      <w:r>
        <w:rPr>
          <w:rFonts w:ascii="Cambria" w:hAnsi="Cambria"/>
          <w:sz w:val="21"/>
          <w:szCs w:val="21"/>
        </w:rPr>
        <w:t>De bevoordeling per werknemer is</w:t>
      </w:r>
      <w:r w:rsidRPr="00CB618C">
        <w:rPr>
          <w:rFonts w:ascii="Cambria" w:hAnsi="Cambria"/>
          <w:sz w:val="21"/>
          <w:szCs w:val="21"/>
        </w:rPr>
        <w:t xml:space="preserve"> </w:t>
      </w:r>
      <w:r>
        <w:rPr>
          <w:rFonts w:ascii="Cambria" w:hAnsi="Cambria"/>
          <w:sz w:val="21"/>
          <w:szCs w:val="21"/>
        </w:rPr>
        <w:t xml:space="preserve">negatief of 0: </w:t>
      </w:r>
    </w:p>
    <w:p w14:paraId="0BA097D2" w14:textId="3D009395" w:rsidR="006F1B8D" w:rsidRDefault="00CB618C" w:rsidP="00CB618C">
      <w:pPr>
        <w:pStyle w:val="Lijstalinea"/>
        <w:numPr>
          <w:ilvl w:val="1"/>
          <w:numId w:val="2"/>
        </w:numPr>
        <w:rPr>
          <w:rFonts w:ascii="Cambria" w:hAnsi="Cambria"/>
          <w:sz w:val="21"/>
          <w:szCs w:val="21"/>
        </w:rPr>
      </w:pPr>
      <w:r>
        <w:rPr>
          <w:rFonts w:ascii="Cambria" w:hAnsi="Cambria"/>
          <w:sz w:val="21"/>
          <w:szCs w:val="21"/>
        </w:rPr>
        <w:t>De btw over de kantinekosten is aftrekbaar.</w:t>
      </w:r>
    </w:p>
    <w:p w14:paraId="534D0B8E" w14:textId="1FBDD801" w:rsidR="00CB618C" w:rsidRDefault="00CB618C" w:rsidP="00CB618C">
      <w:pPr>
        <w:pStyle w:val="Lijstalinea"/>
        <w:numPr>
          <w:ilvl w:val="0"/>
          <w:numId w:val="2"/>
        </w:numPr>
        <w:rPr>
          <w:rFonts w:ascii="Cambria" w:hAnsi="Cambria"/>
          <w:sz w:val="21"/>
          <w:szCs w:val="21"/>
        </w:rPr>
      </w:pPr>
      <w:r>
        <w:rPr>
          <w:rFonts w:ascii="Cambria" w:hAnsi="Cambria"/>
          <w:sz w:val="21"/>
          <w:szCs w:val="21"/>
        </w:rPr>
        <w:t>De bevoordeling per werknemer is 227 euro of minder, en u heeft naast kantinekosten geen andere voorzieningen aan de werknemer gegeven:</w:t>
      </w:r>
    </w:p>
    <w:p w14:paraId="511465B2" w14:textId="2E0C467E" w:rsidR="00CB618C" w:rsidRDefault="00CB618C" w:rsidP="00CB618C">
      <w:pPr>
        <w:pStyle w:val="Lijstalinea"/>
        <w:numPr>
          <w:ilvl w:val="1"/>
          <w:numId w:val="2"/>
        </w:numPr>
        <w:rPr>
          <w:rFonts w:ascii="Cambria" w:hAnsi="Cambria"/>
          <w:sz w:val="21"/>
          <w:szCs w:val="21"/>
        </w:rPr>
      </w:pPr>
      <w:r>
        <w:rPr>
          <w:rFonts w:ascii="Cambria" w:hAnsi="Cambria"/>
          <w:sz w:val="21"/>
          <w:szCs w:val="21"/>
        </w:rPr>
        <w:t>De btw over de personeelsvoorzieningen zijn aftrekbaar.</w:t>
      </w:r>
    </w:p>
    <w:p w14:paraId="27F91948" w14:textId="35EC45E6" w:rsidR="00CB618C" w:rsidRDefault="00CB618C" w:rsidP="00CB618C">
      <w:pPr>
        <w:pStyle w:val="Lijstalinea"/>
        <w:numPr>
          <w:ilvl w:val="0"/>
          <w:numId w:val="2"/>
        </w:numPr>
        <w:rPr>
          <w:rFonts w:ascii="Cambria" w:hAnsi="Cambria"/>
          <w:sz w:val="21"/>
          <w:szCs w:val="21"/>
        </w:rPr>
      </w:pPr>
      <w:r>
        <w:rPr>
          <w:rFonts w:ascii="Cambria" w:hAnsi="Cambria"/>
          <w:sz w:val="21"/>
          <w:szCs w:val="21"/>
        </w:rPr>
        <w:t>De bevoordeling per werknemer is 227 euro of minder, en u heeft ook andere voorzieningen aan de werknemer gegeven:</w:t>
      </w:r>
    </w:p>
    <w:p w14:paraId="62437E8C" w14:textId="77777777" w:rsidR="00CB618C" w:rsidRDefault="00CB618C" w:rsidP="00CB618C">
      <w:pPr>
        <w:pStyle w:val="Lijstalinea"/>
        <w:numPr>
          <w:ilvl w:val="1"/>
          <w:numId w:val="2"/>
        </w:numPr>
        <w:rPr>
          <w:rFonts w:ascii="Cambria" w:hAnsi="Cambria"/>
          <w:sz w:val="21"/>
          <w:szCs w:val="21"/>
        </w:rPr>
      </w:pPr>
      <w:r>
        <w:rPr>
          <w:rFonts w:ascii="Cambria" w:hAnsi="Cambria"/>
          <w:sz w:val="21"/>
          <w:szCs w:val="21"/>
        </w:rPr>
        <w:t>Is het totaal minder dan 227 euro? Dan is de btw over de kantinekosten aftrekbaar.</w:t>
      </w:r>
    </w:p>
    <w:p w14:paraId="525AAC75" w14:textId="77777777" w:rsidR="00CB618C" w:rsidRDefault="00CB618C" w:rsidP="00CB618C">
      <w:pPr>
        <w:pStyle w:val="Lijstalinea"/>
        <w:numPr>
          <w:ilvl w:val="1"/>
          <w:numId w:val="2"/>
        </w:numPr>
        <w:rPr>
          <w:rFonts w:ascii="Cambria" w:hAnsi="Cambria"/>
          <w:sz w:val="21"/>
          <w:szCs w:val="21"/>
        </w:rPr>
      </w:pPr>
      <w:r>
        <w:rPr>
          <w:rFonts w:ascii="Cambria" w:hAnsi="Cambria"/>
          <w:sz w:val="21"/>
          <w:szCs w:val="21"/>
        </w:rPr>
        <w:t>Is het totaal meer dan 227 euro? Dan moet u 9% btw van de bevoordeling per werknemer als voorbelasting over de inkoop van eten en dranken corrigeren.</w:t>
      </w:r>
    </w:p>
    <w:p w14:paraId="7B96D80C" w14:textId="77777777" w:rsidR="00CB618C" w:rsidRDefault="00CB618C" w:rsidP="00CB618C">
      <w:pPr>
        <w:pStyle w:val="Lijstalinea"/>
        <w:numPr>
          <w:ilvl w:val="1"/>
          <w:numId w:val="2"/>
        </w:numPr>
        <w:rPr>
          <w:rFonts w:ascii="Cambria" w:hAnsi="Cambria"/>
          <w:sz w:val="21"/>
          <w:szCs w:val="21"/>
        </w:rPr>
      </w:pPr>
      <w:r>
        <w:rPr>
          <w:rFonts w:ascii="Cambria" w:hAnsi="Cambria"/>
          <w:sz w:val="21"/>
          <w:szCs w:val="21"/>
        </w:rPr>
        <w:t>Is het totaal van de andere voorzieningen ook meer dan 227 euro? Dan moet u ook bij de andere voorzieningen de btw corrigeren die u eerder heeft afgetrokken.</w:t>
      </w:r>
    </w:p>
    <w:p w14:paraId="43FAB51C" w14:textId="2DFD594E" w:rsidR="00CB618C" w:rsidRDefault="00CB618C" w:rsidP="00CB618C">
      <w:pPr>
        <w:pStyle w:val="Lijstalinea"/>
        <w:numPr>
          <w:ilvl w:val="1"/>
          <w:numId w:val="2"/>
        </w:numPr>
        <w:rPr>
          <w:rFonts w:ascii="Cambria" w:hAnsi="Cambria"/>
          <w:sz w:val="21"/>
          <w:szCs w:val="21"/>
        </w:rPr>
      </w:pPr>
      <w:r>
        <w:rPr>
          <w:rFonts w:ascii="Cambria" w:hAnsi="Cambria"/>
          <w:sz w:val="21"/>
          <w:szCs w:val="21"/>
        </w:rPr>
        <w:t>Is het totaal van de andere voorzieningen per werknemer 227 euro of minder? Dan mag u de btw over de kosten hiervan wel aftrekken. Dus ook als het totaal inclusief de kantinekosten meer dan 227 euro is.</w:t>
      </w:r>
    </w:p>
    <w:p w14:paraId="045B8C56" w14:textId="77777777" w:rsidR="00CB618C" w:rsidRDefault="00CB618C" w:rsidP="00CB618C">
      <w:pPr>
        <w:pStyle w:val="Lijstalinea"/>
        <w:numPr>
          <w:ilvl w:val="0"/>
          <w:numId w:val="2"/>
        </w:numPr>
        <w:rPr>
          <w:rFonts w:ascii="Cambria" w:hAnsi="Cambria"/>
          <w:sz w:val="21"/>
          <w:szCs w:val="21"/>
        </w:rPr>
      </w:pPr>
      <w:r>
        <w:rPr>
          <w:rFonts w:ascii="Cambria" w:hAnsi="Cambria"/>
          <w:sz w:val="21"/>
          <w:szCs w:val="21"/>
        </w:rPr>
        <w:t>De bevoordeling per werknemer is</w:t>
      </w:r>
      <w:r w:rsidRPr="00CB618C">
        <w:rPr>
          <w:rFonts w:ascii="Cambria" w:hAnsi="Cambria"/>
          <w:sz w:val="21"/>
          <w:szCs w:val="21"/>
        </w:rPr>
        <w:t xml:space="preserve"> </w:t>
      </w:r>
      <w:r>
        <w:rPr>
          <w:rFonts w:ascii="Cambria" w:hAnsi="Cambria"/>
          <w:sz w:val="21"/>
          <w:szCs w:val="21"/>
        </w:rPr>
        <w:t>meer dan 227 euro:</w:t>
      </w:r>
    </w:p>
    <w:p w14:paraId="5D5D3735" w14:textId="02835B8B" w:rsidR="00CB618C" w:rsidRPr="00CB618C" w:rsidRDefault="00CB618C" w:rsidP="00CB618C">
      <w:pPr>
        <w:pStyle w:val="Lijstalinea"/>
        <w:numPr>
          <w:ilvl w:val="1"/>
          <w:numId w:val="2"/>
        </w:numPr>
        <w:rPr>
          <w:rFonts w:ascii="Cambria" w:hAnsi="Cambria"/>
          <w:sz w:val="21"/>
          <w:szCs w:val="21"/>
        </w:rPr>
      </w:pPr>
      <w:r w:rsidRPr="00CB618C">
        <w:rPr>
          <w:rFonts w:ascii="Cambria" w:hAnsi="Cambria"/>
          <w:sz w:val="21"/>
          <w:szCs w:val="21"/>
        </w:rPr>
        <w:t>U moet, voor zover het om 9%-goederen gaat, 9% btw corrigeren over het bedrag van de bevoordeling per werknemer.</w:t>
      </w:r>
    </w:p>
    <w:p w14:paraId="0DCBE03F" w14:textId="6269D60A" w:rsidR="006F1B8D" w:rsidRPr="00CB618C" w:rsidRDefault="00CB618C" w:rsidP="006F1B8D">
      <w:pPr>
        <w:pStyle w:val="Lijstalinea"/>
        <w:numPr>
          <w:ilvl w:val="1"/>
          <w:numId w:val="2"/>
        </w:numPr>
        <w:rPr>
          <w:rFonts w:ascii="Cambria" w:hAnsi="Cambria"/>
          <w:sz w:val="21"/>
          <w:szCs w:val="21"/>
        </w:rPr>
      </w:pPr>
      <w:r>
        <w:rPr>
          <w:rFonts w:ascii="Cambria" w:hAnsi="Cambria"/>
          <w:sz w:val="21"/>
          <w:szCs w:val="21"/>
        </w:rPr>
        <w:t>Als u daarnaast nog andere voorzieningen geeft, dan mag u over de kosten hiervoor btw aftrekken als deze per werknemer per jaar 227 euro of minder zijn.</w:t>
      </w:r>
    </w:p>
    <w:p w14:paraId="61669A64" w14:textId="77777777" w:rsidR="006F1B8D" w:rsidRDefault="006F1B8D" w:rsidP="006F1B8D">
      <w:pPr>
        <w:rPr>
          <w:rFonts w:ascii="Cambria" w:hAnsi="Cambria"/>
          <w:sz w:val="21"/>
          <w:szCs w:val="21"/>
        </w:rPr>
      </w:pPr>
    </w:p>
    <w:p w14:paraId="383DCF70" w14:textId="77777777" w:rsidR="006F1B8D" w:rsidRDefault="006F1B8D" w:rsidP="006F1B8D">
      <w:pPr>
        <w:rPr>
          <w:rFonts w:ascii="Cambria" w:hAnsi="Cambria"/>
          <w:b/>
          <w:bCs/>
          <w:sz w:val="21"/>
          <w:szCs w:val="21"/>
        </w:rPr>
      </w:pPr>
      <w:r>
        <w:rPr>
          <w:rFonts w:ascii="Cambria" w:hAnsi="Cambria"/>
          <w:b/>
          <w:bCs/>
          <w:sz w:val="21"/>
          <w:szCs w:val="21"/>
        </w:rPr>
        <w:t>Vijzelman Fiscaal Advies</w:t>
      </w:r>
    </w:p>
    <w:p w14:paraId="364BBEC0" w14:textId="77777777" w:rsidR="006F1B8D" w:rsidRPr="00463650" w:rsidRDefault="006F1B8D" w:rsidP="006F1B8D">
      <w:pPr>
        <w:rPr>
          <w:rFonts w:ascii="Cambria" w:hAnsi="Cambria"/>
          <w:sz w:val="21"/>
          <w:szCs w:val="21"/>
        </w:rPr>
      </w:pPr>
      <w:r>
        <w:rPr>
          <w:rFonts w:ascii="Cambria" w:hAnsi="Cambria"/>
          <w:sz w:val="21"/>
          <w:szCs w:val="21"/>
        </w:rPr>
        <w:t>De Omzetbelasting is een ingewikkeld onderdeel binnen de fiscaliteit met vele regelingen. Vooral als het gaat om aftrek van de voorbelasting bestaat er vaak onduidelijkheid. Om dit rechtsgebied zo goed mogelijk te navigeren en te voorkomen dat u voor verrassingen komt te staan of onnodig btw afdraagt, is het belangrijk om van de juiste kennis voorzien te zijn. Vijzelman is een prijswinnend advieskantoor met een 3-in-1 combinatie betreffende de belangrijkste rechtsgebieden. Voor advies in het kader van de Omzetbelasting bent u bij ons dus op het juiste adres.</w:t>
      </w:r>
    </w:p>
    <w:p w14:paraId="12E19508" w14:textId="77777777" w:rsidR="006F1B8D" w:rsidRPr="003B1322" w:rsidRDefault="006F1B8D" w:rsidP="006F1B8D">
      <w:pPr>
        <w:rPr>
          <w:rFonts w:ascii="Cambria" w:hAnsi="Cambria"/>
          <w:sz w:val="21"/>
          <w:szCs w:val="21"/>
        </w:rPr>
      </w:pPr>
    </w:p>
    <w:p w14:paraId="2EA471FB" w14:textId="77777777" w:rsidR="00100B2A" w:rsidRDefault="00100B2A"/>
    <w:sectPr w:rsidR="00100B2A" w:rsidSect="00CF02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5B3F"/>
    <w:multiLevelType w:val="hybridMultilevel"/>
    <w:tmpl w:val="3650F05C"/>
    <w:lvl w:ilvl="0" w:tplc="AE3259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92749D4"/>
    <w:multiLevelType w:val="hybridMultilevel"/>
    <w:tmpl w:val="3752A2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31349023">
    <w:abstractNumId w:val="0"/>
  </w:num>
  <w:num w:numId="2" w16cid:durableId="1412462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8D"/>
    <w:rsid w:val="00100B2A"/>
    <w:rsid w:val="006F1B8D"/>
    <w:rsid w:val="00BD10BC"/>
    <w:rsid w:val="00CB6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3073"/>
  <w15:chartTrackingRefBased/>
  <w15:docId w15:val="{FD05F609-0915-43E8-AAEE-93D9BCFF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1B8D"/>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F1B8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1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9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4081</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Vijzelman Fiscaal advies</dc:creator>
  <cp:keywords/>
  <dc:description/>
  <cp:lastModifiedBy>Vijzelman Fiscaal advies</cp:lastModifiedBy>
  <cp:revision>2</cp:revision>
  <dcterms:created xsi:type="dcterms:W3CDTF">2022-10-30T12:04:00Z</dcterms:created>
  <dcterms:modified xsi:type="dcterms:W3CDTF">2022-10-30T12:04:00Z</dcterms:modified>
</cp:coreProperties>
</file>