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4D6F" w14:textId="77777777" w:rsidR="00D1464E" w:rsidRDefault="00597DAC" w:rsidP="00D1464E">
      <w:pPr>
        <w:pStyle w:val="Normaalweb"/>
        <w:shd w:val="clear" w:color="auto" w:fill="FFFFFF"/>
        <w:spacing w:after="390"/>
        <w:rPr>
          <w:rStyle w:val="Zwaar"/>
          <w:rFonts w:ascii="Arial" w:hAnsi="Arial" w:cs="Arial"/>
          <w:color w:val="464646"/>
          <w:shd w:val="clear" w:color="auto" w:fill="FFFFFF"/>
        </w:rPr>
      </w:pPr>
      <w:r>
        <w:rPr>
          <w:rStyle w:val="Zwaar"/>
          <w:rFonts w:ascii="Arial" w:hAnsi="Arial" w:cs="Arial"/>
          <w:color w:val="464646"/>
          <w:shd w:val="clear" w:color="auto" w:fill="FFFFFF"/>
        </w:rPr>
        <w:t xml:space="preserve">Waar iemand woont wordt beoordeeld aan de hand van feitelijke omstandigheden. Een duurzame betrekking van persoonlijke aard met een Nederlandse woonplaats hoeft daarbij </w:t>
      </w:r>
    </w:p>
    <w:p w14:paraId="3A2A81F0" w14:textId="77777777" w:rsidR="00D1464E" w:rsidRDefault="00D1464E" w:rsidP="00D1464E">
      <w:pPr>
        <w:pStyle w:val="Normaalweb"/>
        <w:shd w:val="clear" w:color="auto" w:fill="FFFFFF"/>
        <w:spacing w:after="390"/>
        <w:rPr>
          <w:rStyle w:val="Zwaar"/>
          <w:rFonts w:ascii="Arial" w:hAnsi="Arial" w:cs="Arial"/>
          <w:color w:val="464646"/>
          <w:shd w:val="clear" w:color="auto" w:fill="FFFFFF"/>
        </w:rPr>
      </w:pPr>
    </w:p>
    <w:p w14:paraId="08409F23" w14:textId="77777777" w:rsidR="00D1464E" w:rsidRDefault="00D1464E" w:rsidP="00D1464E">
      <w:pPr>
        <w:pStyle w:val="Normaalweb"/>
        <w:shd w:val="clear" w:color="auto" w:fill="FFFFFF"/>
        <w:spacing w:after="390"/>
        <w:rPr>
          <w:rStyle w:val="Zwaar"/>
          <w:rFonts w:ascii="Arial" w:hAnsi="Arial" w:cs="Arial"/>
          <w:color w:val="464646"/>
          <w:shd w:val="clear" w:color="auto" w:fill="FFFFFF"/>
        </w:rPr>
      </w:pPr>
    </w:p>
    <w:p w14:paraId="4A6907C9" w14:textId="0BC7BA3E" w:rsidR="00D1464E" w:rsidRPr="00D1464E" w:rsidRDefault="00D1464E" w:rsidP="00D1464E">
      <w:pPr>
        <w:pStyle w:val="Normaalweb"/>
        <w:shd w:val="clear" w:color="auto" w:fill="FFFFFF"/>
        <w:spacing w:after="390"/>
        <w:rPr>
          <w:rFonts w:ascii="Arial" w:eastAsia="Times New Roman" w:hAnsi="Arial" w:cs="Arial"/>
          <w:color w:val="464646"/>
          <w:lang w:eastAsia="nl-NL"/>
        </w:rPr>
      </w:pPr>
      <w:r w:rsidRPr="00D1464E">
        <w:rPr>
          <w:rFonts w:ascii="Arial" w:eastAsia="Times New Roman" w:hAnsi="Arial" w:cs="Arial"/>
          <w:color w:val="464646"/>
          <w:lang w:eastAsia="nl-NL"/>
        </w:rPr>
        <w:t xml:space="preserve">Na het afronden van een opleiding tot commercieel verkeersvlieger, treedt een piloot in januari 2017 in dienst bij een in Spanje gevestigde maatschappij. Vanaf april 2017 is hij werkzaam voor een Italiaanse maatschappij. Tijdens zijn verblijf in Spanje en Italië heeft hij woonruimte gehuurd. </w:t>
      </w:r>
      <w:proofErr w:type="gramStart"/>
      <w:r w:rsidRPr="00D1464E">
        <w:rPr>
          <w:rFonts w:ascii="Arial" w:eastAsia="Times New Roman" w:hAnsi="Arial" w:cs="Arial"/>
          <w:color w:val="464646"/>
          <w:lang w:eastAsia="nl-NL"/>
        </w:rPr>
        <w:t>Aanvankelijk</w:t>
      </w:r>
      <w:proofErr w:type="gramEnd"/>
      <w:r w:rsidRPr="00D1464E">
        <w:rPr>
          <w:rFonts w:ascii="Arial" w:eastAsia="Times New Roman" w:hAnsi="Arial" w:cs="Arial"/>
          <w:color w:val="464646"/>
          <w:lang w:eastAsia="nl-NL"/>
        </w:rPr>
        <w:t xml:space="preserve"> doet de piloot aangifte als binnenlands belastingplichtige. Later neemt hij het standpunt in dat hij vanaf januari 2017 Nederland metterwoon heeft verlaten. Daarop start de Belastingdienst een woonplaatsonderzoek. De uitkomst is dat de piloot binnenlands belastingplichtig is gebleven.</w:t>
      </w:r>
    </w:p>
    <w:p w14:paraId="3A5C75EC" w14:textId="77777777" w:rsidR="00D1464E" w:rsidRPr="00D1464E" w:rsidRDefault="00D1464E" w:rsidP="00D1464E">
      <w:pPr>
        <w:shd w:val="clear" w:color="auto" w:fill="FFFFFF"/>
        <w:spacing w:after="240" w:line="240" w:lineRule="auto"/>
        <w:outlineLvl w:val="1"/>
        <w:rPr>
          <w:rFonts w:ascii="Arial" w:eastAsia="Times New Roman" w:hAnsi="Arial" w:cs="Arial"/>
          <w:b/>
          <w:bCs/>
          <w:color w:val="000000"/>
          <w:sz w:val="36"/>
          <w:szCs w:val="36"/>
          <w:lang w:eastAsia="nl-NL"/>
        </w:rPr>
      </w:pPr>
      <w:r w:rsidRPr="00D1464E">
        <w:rPr>
          <w:rFonts w:ascii="Arial" w:eastAsia="Times New Roman" w:hAnsi="Arial" w:cs="Arial"/>
          <w:b/>
          <w:bCs/>
          <w:color w:val="000000"/>
          <w:sz w:val="36"/>
          <w:szCs w:val="36"/>
          <w:lang w:eastAsia="nl-NL"/>
        </w:rPr>
        <w:t>Het geschil</w:t>
      </w:r>
    </w:p>
    <w:p w14:paraId="0824B8A7" w14:textId="77777777" w:rsidR="00D1464E" w:rsidRPr="00D1464E" w:rsidRDefault="00D1464E" w:rsidP="00D1464E">
      <w:pPr>
        <w:shd w:val="clear" w:color="auto" w:fill="FFFFFF"/>
        <w:spacing w:after="390" w:line="240" w:lineRule="auto"/>
        <w:rPr>
          <w:rFonts w:ascii="Arial" w:eastAsia="Times New Roman" w:hAnsi="Arial" w:cs="Arial"/>
          <w:color w:val="464646"/>
          <w:sz w:val="24"/>
          <w:szCs w:val="24"/>
          <w:lang w:eastAsia="nl-NL"/>
        </w:rPr>
      </w:pPr>
      <w:r w:rsidRPr="00D1464E">
        <w:rPr>
          <w:rFonts w:ascii="Arial" w:eastAsia="Times New Roman" w:hAnsi="Arial" w:cs="Arial"/>
          <w:color w:val="464646"/>
          <w:sz w:val="24"/>
          <w:szCs w:val="24"/>
          <w:lang w:eastAsia="nl-NL"/>
        </w:rPr>
        <w:t>Bij Rechtbank Den Haag is in geschil of de piloot binnenlands belastingplichtige is gebleven of niet. Ook is nog in geschil of de zogeheten ‘</w:t>
      </w:r>
      <w:proofErr w:type="spellStart"/>
      <w:r w:rsidRPr="00D1464E">
        <w:rPr>
          <w:rFonts w:ascii="Arial" w:eastAsia="Times New Roman" w:hAnsi="Arial" w:cs="Arial"/>
          <w:color w:val="464646"/>
          <w:sz w:val="24"/>
          <w:szCs w:val="24"/>
          <w:lang w:eastAsia="nl-NL"/>
        </w:rPr>
        <w:t>blockhours</w:t>
      </w:r>
      <w:proofErr w:type="spellEnd"/>
      <w:r w:rsidRPr="00D1464E">
        <w:rPr>
          <w:rFonts w:ascii="Arial" w:eastAsia="Times New Roman" w:hAnsi="Arial" w:cs="Arial"/>
          <w:color w:val="464646"/>
          <w:sz w:val="24"/>
          <w:szCs w:val="24"/>
          <w:lang w:eastAsia="nl-NL"/>
        </w:rPr>
        <w:t>’ tot het Nederlandse loon moeten worden gerekend.</w:t>
      </w:r>
    </w:p>
    <w:p w14:paraId="03CC90F3" w14:textId="77777777" w:rsidR="00D1464E" w:rsidRPr="00D1464E" w:rsidRDefault="00D1464E" w:rsidP="00D1464E">
      <w:pPr>
        <w:shd w:val="clear" w:color="auto" w:fill="FFFFFF"/>
        <w:spacing w:after="240" w:line="240" w:lineRule="auto"/>
        <w:outlineLvl w:val="1"/>
        <w:rPr>
          <w:rFonts w:ascii="Arial" w:eastAsia="Times New Roman" w:hAnsi="Arial" w:cs="Arial"/>
          <w:b/>
          <w:bCs/>
          <w:color w:val="000000"/>
          <w:sz w:val="36"/>
          <w:szCs w:val="36"/>
          <w:lang w:eastAsia="nl-NL"/>
        </w:rPr>
      </w:pPr>
      <w:r w:rsidRPr="00D1464E">
        <w:rPr>
          <w:rFonts w:ascii="Arial" w:eastAsia="Times New Roman" w:hAnsi="Arial" w:cs="Arial"/>
          <w:b/>
          <w:bCs/>
          <w:color w:val="000000"/>
          <w:sz w:val="36"/>
          <w:szCs w:val="36"/>
          <w:lang w:eastAsia="nl-NL"/>
        </w:rPr>
        <w:t>Duurzame betrekking van persoonlijke aard met Nederlandse woonplaats</w:t>
      </w:r>
    </w:p>
    <w:p w14:paraId="59E1692E" w14:textId="77777777" w:rsidR="00D1464E" w:rsidRPr="00D1464E" w:rsidRDefault="00D1464E" w:rsidP="00D1464E">
      <w:pPr>
        <w:shd w:val="clear" w:color="auto" w:fill="FFFFFF"/>
        <w:spacing w:after="390" w:line="240" w:lineRule="auto"/>
        <w:rPr>
          <w:rFonts w:ascii="Arial" w:eastAsia="Times New Roman" w:hAnsi="Arial" w:cs="Arial"/>
          <w:color w:val="464646"/>
          <w:sz w:val="24"/>
          <w:szCs w:val="24"/>
          <w:lang w:eastAsia="nl-NL"/>
        </w:rPr>
      </w:pPr>
      <w:r w:rsidRPr="00D1464E">
        <w:rPr>
          <w:rFonts w:ascii="Arial" w:eastAsia="Times New Roman" w:hAnsi="Arial" w:cs="Arial"/>
          <w:color w:val="464646"/>
          <w:sz w:val="24"/>
          <w:szCs w:val="24"/>
          <w:lang w:eastAsia="nl-NL"/>
        </w:rPr>
        <w:t>De rechtbank oordeelt dat de piloot tijdens de periode dat hij in het buitenland verbleef Nederland niet metterwoon heeft verlaten. De piloot heeft in 2017 een duurzame betrekking van persoonlijke aard met Nederland onderhouden. De rechtbank vindt daarvoor de uitkomsten van het woonplaatsonderzoek van de Belastingdienst doorslaggevend. Uit het onderzoek is onder meer naar voren gekomen dat de piloot de Nederlandse nationaliteit heeft en het hele jaar 2017 in de BRP ingeschreven is geweest op een Nederlands adres. Op bankafschriften zijn pinbetalingen te zien aan Nederlandse horecagelegenheden en vrijetijdsbestedingen. Ook doet de piloot regelmatig pinbetalingen in Nederlandse winkels. Bij zijn zorgverzekeraar heeft de piloot niet aangegeven in het buitenland te wonen. Ook heeft de piloot zorgtoeslag ontvangen en van de gemeente Amsterdam een betaling van de Dienst Werk en Inkomen. Ook blijkt uit de ontvangen bankafschriften en creditcard gegevens blijkt dat de piloot regelmatig in Nederland aanwezig is geweest. In Spanje heeft de piloot een identificatienummer voor buitenlanders gehad.</w:t>
      </w:r>
    </w:p>
    <w:p w14:paraId="378CFEAD" w14:textId="77777777" w:rsidR="00D1464E" w:rsidRPr="00D1464E" w:rsidRDefault="00D1464E" w:rsidP="00D1464E">
      <w:pPr>
        <w:shd w:val="clear" w:color="auto" w:fill="FFFFFF"/>
        <w:spacing w:after="240" w:line="240" w:lineRule="auto"/>
        <w:outlineLvl w:val="1"/>
        <w:rPr>
          <w:rFonts w:ascii="Arial" w:eastAsia="Times New Roman" w:hAnsi="Arial" w:cs="Arial"/>
          <w:b/>
          <w:bCs/>
          <w:color w:val="000000"/>
          <w:sz w:val="36"/>
          <w:szCs w:val="36"/>
          <w:lang w:eastAsia="nl-NL"/>
        </w:rPr>
      </w:pPr>
      <w:r w:rsidRPr="00D1464E">
        <w:rPr>
          <w:rFonts w:ascii="Arial" w:eastAsia="Times New Roman" w:hAnsi="Arial" w:cs="Arial"/>
          <w:b/>
          <w:bCs/>
          <w:color w:val="000000"/>
          <w:sz w:val="36"/>
          <w:szCs w:val="36"/>
          <w:lang w:eastAsia="nl-NL"/>
        </w:rPr>
        <w:t xml:space="preserve">‘Block </w:t>
      </w:r>
      <w:proofErr w:type="spellStart"/>
      <w:r w:rsidRPr="00D1464E">
        <w:rPr>
          <w:rFonts w:ascii="Arial" w:eastAsia="Times New Roman" w:hAnsi="Arial" w:cs="Arial"/>
          <w:b/>
          <w:bCs/>
          <w:color w:val="000000"/>
          <w:sz w:val="36"/>
          <w:szCs w:val="36"/>
          <w:lang w:eastAsia="nl-NL"/>
        </w:rPr>
        <w:t>hours</w:t>
      </w:r>
      <w:proofErr w:type="spellEnd"/>
      <w:r w:rsidRPr="00D1464E">
        <w:rPr>
          <w:rFonts w:ascii="Arial" w:eastAsia="Times New Roman" w:hAnsi="Arial" w:cs="Arial"/>
          <w:b/>
          <w:bCs/>
          <w:color w:val="000000"/>
          <w:sz w:val="36"/>
          <w:szCs w:val="36"/>
          <w:lang w:eastAsia="nl-NL"/>
        </w:rPr>
        <w:t>’ behoren niet tot het inkomen</w:t>
      </w:r>
    </w:p>
    <w:p w14:paraId="3712FB14" w14:textId="77777777" w:rsidR="00D1464E" w:rsidRPr="00D1464E" w:rsidRDefault="00D1464E" w:rsidP="00D1464E">
      <w:pPr>
        <w:shd w:val="clear" w:color="auto" w:fill="FFFFFF"/>
        <w:spacing w:after="390" w:line="240" w:lineRule="auto"/>
        <w:rPr>
          <w:rFonts w:ascii="Arial" w:eastAsia="Times New Roman" w:hAnsi="Arial" w:cs="Arial"/>
          <w:color w:val="464646"/>
          <w:sz w:val="24"/>
          <w:szCs w:val="24"/>
          <w:lang w:eastAsia="nl-NL"/>
        </w:rPr>
      </w:pPr>
      <w:r w:rsidRPr="00D1464E">
        <w:rPr>
          <w:rFonts w:ascii="Arial" w:eastAsia="Times New Roman" w:hAnsi="Arial" w:cs="Arial"/>
          <w:color w:val="464646"/>
          <w:sz w:val="24"/>
          <w:szCs w:val="24"/>
          <w:lang w:eastAsia="nl-NL"/>
        </w:rPr>
        <w:t>De inspecteur had ook de zogeheten ‘</w:t>
      </w:r>
      <w:proofErr w:type="spellStart"/>
      <w:r w:rsidRPr="00D1464E">
        <w:rPr>
          <w:rFonts w:ascii="Arial" w:eastAsia="Times New Roman" w:hAnsi="Arial" w:cs="Arial"/>
          <w:color w:val="464646"/>
          <w:sz w:val="24"/>
          <w:szCs w:val="24"/>
          <w:lang w:eastAsia="nl-NL"/>
        </w:rPr>
        <w:t>blockhours</w:t>
      </w:r>
      <w:proofErr w:type="spellEnd"/>
      <w:r w:rsidRPr="00D1464E">
        <w:rPr>
          <w:rFonts w:ascii="Arial" w:eastAsia="Times New Roman" w:hAnsi="Arial" w:cs="Arial"/>
          <w:color w:val="464646"/>
          <w:sz w:val="24"/>
          <w:szCs w:val="24"/>
          <w:lang w:eastAsia="nl-NL"/>
        </w:rPr>
        <w:t>’ tot het inkomen gerekend. Maar dat is volgens de rechtbank niet terecht. De ‘</w:t>
      </w:r>
      <w:proofErr w:type="spellStart"/>
      <w:r w:rsidRPr="00D1464E">
        <w:rPr>
          <w:rFonts w:ascii="Arial" w:eastAsia="Times New Roman" w:hAnsi="Arial" w:cs="Arial"/>
          <w:color w:val="464646"/>
          <w:sz w:val="24"/>
          <w:szCs w:val="24"/>
          <w:lang w:eastAsia="nl-NL"/>
        </w:rPr>
        <w:t>blockhours</w:t>
      </w:r>
      <w:proofErr w:type="spellEnd"/>
      <w:r w:rsidRPr="00D1464E">
        <w:rPr>
          <w:rFonts w:ascii="Arial" w:eastAsia="Times New Roman" w:hAnsi="Arial" w:cs="Arial"/>
          <w:color w:val="464646"/>
          <w:sz w:val="24"/>
          <w:szCs w:val="24"/>
          <w:lang w:eastAsia="nl-NL"/>
        </w:rPr>
        <w:t>’ zien niet op genoten inkomen, maar op het minimumbedrag dat de piloot in ieder geval ontvangt ongeacht het aantal uur dat hij werkt. Omdat de piloot meer inkomen heeft genoten dan het op de loonstroken vermelde bedrag aan ‘</w:t>
      </w:r>
      <w:proofErr w:type="spellStart"/>
      <w:r w:rsidRPr="00D1464E">
        <w:rPr>
          <w:rFonts w:ascii="Arial" w:eastAsia="Times New Roman" w:hAnsi="Arial" w:cs="Arial"/>
          <w:color w:val="464646"/>
          <w:sz w:val="24"/>
          <w:szCs w:val="24"/>
          <w:lang w:eastAsia="nl-NL"/>
        </w:rPr>
        <w:t>blockhours</w:t>
      </w:r>
      <w:proofErr w:type="spellEnd"/>
      <w:r w:rsidRPr="00D1464E">
        <w:rPr>
          <w:rFonts w:ascii="Arial" w:eastAsia="Times New Roman" w:hAnsi="Arial" w:cs="Arial"/>
          <w:color w:val="464646"/>
          <w:sz w:val="24"/>
          <w:szCs w:val="24"/>
          <w:lang w:eastAsia="nl-NL"/>
        </w:rPr>
        <w:t>’ is zijn inkomen hierdoor niet beïnvloed. De inspecteur heeft ten onrechte deze ‘</w:t>
      </w:r>
      <w:proofErr w:type="spellStart"/>
      <w:r w:rsidRPr="00D1464E">
        <w:rPr>
          <w:rFonts w:ascii="Arial" w:eastAsia="Times New Roman" w:hAnsi="Arial" w:cs="Arial"/>
          <w:color w:val="464646"/>
          <w:sz w:val="24"/>
          <w:szCs w:val="24"/>
          <w:lang w:eastAsia="nl-NL"/>
        </w:rPr>
        <w:t>blockhours</w:t>
      </w:r>
      <w:proofErr w:type="spellEnd"/>
      <w:r w:rsidRPr="00D1464E">
        <w:rPr>
          <w:rFonts w:ascii="Arial" w:eastAsia="Times New Roman" w:hAnsi="Arial" w:cs="Arial"/>
          <w:color w:val="464646"/>
          <w:sz w:val="24"/>
          <w:szCs w:val="24"/>
          <w:lang w:eastAsia="nl-NL"/>
        </w:rPr>
        <w:t>’ tot het inkomen gerekend.</w:t>
      </w:r>
    </w:p>
    <w:p w14:paraId="6E370C00" w14:textId="77777777" w:rsidR="00D1464E" w:rsidRPr="00D1464E" w:rsidRDefault="00D1464E" w:rsidP="00D1464E">
      <w:pPr>
        <w:shd w:val="clear" w:color="auto" w:fill="FFFFFF"/>
        <w:spacing w:after="390" w:line="240" w:lineRule="auto"/>
        <w:rPr>
          <w:rFonts w:ascii="Arial" w:eastAsia="Times New Roman" w:hAnsi="Arial" w:cs="Arial"/>
          <w:color w:val="464646"/>
          <w:sz w:val="24"/>
          <w:szCs w:val="24"/>
          <w:lang w:eastAsia="nl-NL"/>
        </w:rPr>
      </w:pPr>
      <w:r w:rsidRPr="00D1464E">
        <w:rPr>
          <w:rFonts w:ascii="Arial" w:eastAsia="Times New Roman" w:hAnsi="Arial" w:cs="Arial"/>
          <w:color w:val="464646"/>
          <w:sz w:val="24"/>
          <w:szCs w:val="24"/>
          <w:lang w:eastAsia="nl-NL"/>
        </w:rPr>
        <w:t>Wet: </w:t>
      </w:r>
      <w:hyperlink r:id="rId4" w:anchor="BWBR0011353-20220401_2781864" w:tgtFrame="_blank" w:history="1">
        <w:r w:rsidRPr="00D1464E">
          <w:rPr>
            <w:rFonts w:ascii="Arial" w:eastAsia="Times New Roman" w:hAnsi="Arial" w:cs="Arial"/>
            <w:color w:val="EE3224"/>
            <w:sz w:val="24"/>
            <w:szCs w:val="24"/>
            <w:u w:val="single"/>
            <w:lang w:eastAsia="nl-NL"/>
          </w:rPr>
          <w:t>art. 2.1 Wet IB</w:t>
        </w:r>
      </w:hyperlink>
      <w:r w:rsidRPr="00D1464E">
        <w:rPr>
          <w:rFonts w:ascii="Arial" w:eastAsia="Times New Roman" w:hAnsi="Arial" w:cs="Arial"/>
          <w:color w:val="464646"/>
          <w:sz w:val="24"/>
          <w:szCs w:val="24"/>
          <w:lang w:eastAsia="nl-NL"/>
        </w:rPr>
        <w:t> en </w:t>
      </w:r>
      <w:hyperlink r:id="rId5" w:anchor="BWBR0002320-20221001_2873784" w:tgtFrame="_blank" w:history="1">
        <w:r w:rsidRPr="00D1464E">
          <w:rPr>
            <w:rFonts w:ascii="Arial" w:eastAsia="Times New Roman" w:hAnsi="Arial" w:cs="Arial"/>
            <w:color w:val="EE3224"/>
            <w:sz w:val="24"/>
            <w:szCs w:val="24"/>
            <w:u w:val="single"/>
            <w:lang w:eastAsia="nl-NL"/>
          </w:rPr>
          <w:t>art. 4 AWR</w:t>
        </w:r>
      </w:hyperlink>
    </w:p>
    <w:p w14:paraId="50D43EC1" w14:textId="77777777" w:rsidR="00D1464E" w:rsidRPr="00D1464E" w:rsidRDefault="00D1464E" w:rsidP="00D1464E">
      <w:pPr>
        <w:shd w:val="clear" w:color="auto" w:fill="FFFFFF"/>
        <w:spacing w:after="390" w:line="240" w:lineRule="auto"/>
        <w:rPr>
          <w:rFonts w:ascii="Arial" w:eastAsia="Times New Roman" w:hAnsi="Arial" w:cs="Arial"/>
          <w:color w:val="464646"/>
          <w:sz w:val="24"/>
          <w:szCs w:val="24"/>
          <w:lang w:eastAsia="nl-NL"/>
        </w:rPr>
      </w:pPr>
      <w:r w:rsidRPr="00D1464E">
        <w:rPr>
          <w:rFonts w:ascii="Arial" w:eastAsia="Times New Roman" w:hAnsi="Arial" w:cs="Arial"/>
          <w:color w:val="464646"/>
          <w:sz w:val="24"/>
          <w:szCs w:val="24"/>
          <w:lang w:eastAsia="nl-NL"/>
        </w:rPr>
        <w:t>Bron: </w:t>
      </w:r>
      <w:hyperlink r:id="rId6" w:tgtFrame="_blank" w:history="1">
        <w:r w:rsidRPr="00D1464E">
          <w:rPr>
            <w:rFonts w:ascii="Arial" w:eastAsia="Times New Roman" w:hAnsi="Arial" w:cs="Arial"/>
            <w:color w:val="EE3224"/>
            <w:sz w:val="24"/>
            <w:szCs w:val="24"/>
            <w:u w:val="single"/>
            <w:lang w:eastAsia="nl-NL"/>
          </w:rPr>
          <w:t>Rechtbank Den Haag 21 november 2022 (gepubliceerd 8 december 2022), ECLI:</w:t>
        </w:r>
        <w:proofErr w:type="gramStart"/>
        <w:r w:rsidRPr="00D1464E">
          <w:rPr>
            <w:rFonts w:ascii="Arial" w:eastAsia="Times New Roman" w:hAnsi="Arial" w:cs="Arial"/>
            <w:color w:val="EE3224"/>
            <w:sz w:val="24"/>
            <w:szCs w:val="24"/>
            <w:u w:val="single"/>
            <w:lang w:eastAsia="nl-NL"/>
          </w:rPr>
          <w:t>NL:RBDHA</w:t>
        </w:r>
        <w:proofErr w:type="gramEnd"/>
        <w:r w:rsidRPr="00D1464E">
          <w:rPr>
            <w:rFonts w:ascii="Arial" w:eastAsia="Times New Roman" w:hAnsi="Arial" w:cs="Arial"/>
            <w:color w:val="EE3224"/>
            <w:sz w:val="24"/>
            <w:szCs w:val="24"/>
            <w:u w:val="single"/>
            <w:lang w:eastAsia="nl-NL"/>
          </w:rPr>
          <w:t>: 2022:12395, SGR 21/7018</w:t>
        </w:r>
      </w:hyperlink>
    </w:p>
    <w:sectPr w:rsidR="00D1464E" w:rsidRPr="00D14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AC"/>
    <w:rsid w:val="00100B2A"/>
    <w:rsid w:val="00540DBA"/>
    <w:rsid w:val="00597DAC"/>
    <w:rsid w:val="00D14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C975"/>
  <w15:chartTrackingRefBased/>
  <w15:docId w15:val="{E05B71E7-AE29-44C2-8D39-DD645B47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97DAC"/>
    <w:rPr>
      <w:b/>
      <w:bCs/>
    </w:rPr>
  </w:style>
  <w:style w:type="paragraph" w:styleId="Normaalweb">
    <w:name w:val="Normal (Web)"/>
    <w:basedOn w:val="Standaard"/>
    <w:uiPriority w:val="99"/>
    <w:semiHidden/>
    <w:unhideWhenUsed/>
    <w:rsid w:val="00D14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6603">
      <w:bodyDiv w:val="1"/>
      <w:marLeft w:val="0"/>
      <w:marRight w:val="0"/>
      <w:marTop w:val="0"/>
      <w:marBottom w:val="0"/>
      <w:divBdr>
        <w:top w:val="none" w:sz="0" w:space="0" w:color="auto"/>
        <w:left w:val="none" w:sz="0" w:space="0" w:color="auto"/>
        <w:bottom w:val="none" w:sz="0" w:space="0" w:color="auto"/>
        <w:right w:val="none" w:sz="0" w:space="0" w:color="auto"/>
      </w:divBdr>
      <w:divsChild>
        <w:div w:id="1105883427">
          <w:marLeft w:val="0"/>
          <w:marRight w:val="0"/>
          <w:marTop w:val="0"/>
          <w:marBottom w:val="0"/>
          <w:divBdr>
            <w:top w:val="none" w:sz="0" w:space="0" w:color="auto"/>
            <w:left w:val="none" w:sz="0" w:space="0" w:color="auto"/>
            <w:bottom w:val="none" w:sz="0" w:space="0" w:color="auto"/>
            <w:right w:val="none" w:sz="0" w:space="0" w:color="auto"/>
          </w:divBdr>
        </w:div>
        <w:div w:id="155075566">
          <w:marLeft w:val="0"/>
          <w:marRight w:val="0"/>
          <w:marTop w:val="0"/>
          <w:marBottom w:val="0"/>
          <w:divBdr>
            <w:top w:val="single" w:sz="6" w:space="2" w:color="464646"/>
            <w:left w:val="single" w:sz="6" w:space="8" w:color="464646"/>
            <w:bottom w:val="single" w:sz="6" w:space="2" w:color="464646"/>
            <w:right w:val="single" w:sz="6" w:space="8" w:color="464646"/>
          </w:divBdr>
          <w:divsChild>
            <w:div w:id="20198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fr.nl/content/ECLI_NL_RBDHA_2022_12395" TargetMode="External"/><Relationship Id="rId5" Type="http://schemas.openxmlformats.org/officeDocument/2006/relationships/hyperlink" Target="https://www.ndfr.nl/content/BWBR0002320-20221001" TargetMode="External"/><Relationship Id="rId4" Type="http://schemas.openxmlformats.org/officeDocument/2006/relationships/hyperlink" Target="https://www.ndfr.nl/content/BWBR0011353-2022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2652</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Vijzelman Fiscaal advies</dc:creator>
  <cp:keywords/>
  <dc:description/>
  <cp:lastModifiedBy>Vijzelman Fiscaal advies</cp:lastModifiedBy>
  <cp:revision>2</cp:revision>
  <cp:lastPrinted>2022-12-12T16:40:00Z</cp:lastPrinted>
  <dcterms:created xsi:type="dcterms:W3CDTF">2022-12-12T16:39:00Z</dcterms:created>
  <dcterms:modified xsi:type="dcterms:W3CDTF">2022-12-12T16:40:00Z</dcterms:modified>
</cp:coreProperties>
</file>