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1A6C" w14:textId="363F2603" w:rsidR="00611FDC" w:rsidRDefault="0019546E" w:rsidP="0019546E">
      <w:pPr>
        <w:jc w:val="center"/>
        <w:rPr>
          <w:rFonts w:ascii="Cambria" w:hAnsi="Cambria"/>
          <w:sz w:val="21"/>
          <w:szCs w:val="21"/>
        </w:rPr>
      </w:pPr>
      <w:r>
        <w:rPr>
          <w:rFonts w:ascii="Cambria" w:hAnsi="Cambria"/>
          <w:sz w:val="21"/>
          <w:szCs w:val="21"/>
        </w:rPr>
        <w:t>Vijzelman Fiscaal Advies –</w:t>
      </w:r>
      <w:r w:rsidR="004406CA">
        <w:rPr>
          <w:rFonts w:ascii="Cambria" w:hAnsi="Cambria"/>
          <w:sz w:val="21"/>
          <w:szCs w:val="21"/>
        </w:rPr>
        <w:t>De boedelbeschrijving</w:t>
      </w:r>
    </w:p>
    <w:p w14:paraId="2A96C285" w14:textId="77777777" w:rsidR="0019546E" w:rsidRPr="00D007EB" w:rsidRDefault="0019546E" w:rsidP="00D007EB">
      <w:pPr>
        <w:jc w:val="center"/>
        <w:rPr>
          <w:rFonts w:ascii="Cambria" w:hAnsi="Cambria"/>
          <w:b/>
          <w:bCs/>
          <w:sz w:val="21"/>
          <w:szCs w:val="21"/>
        </w:rPr>
      </w:pPr>
    </w:p>
    <w:p w14:paraId="274CFDA8" w14:textId="28A1E8F0" w:rsidR="0019546E" w:rsidRPr="00D007EB" w:rsidRDefault="00A406CB" w:rsidP="00D007EB">
      <w:pPr>
        <w:jc w:val="center"/>
        <w:rPr>
          <w:rFonts w:ascii="Cambria" w:eastAsia="Times New Roman" w:hAnsi="Cambria" w:cs="Arial"/>
          <w:b/>
          <w:bCs/>
          <w:color w:val="000000"/>
          <w:sz w:val="21"/>
          <w:szCs w:val="21"/>
          <w:lang w:eastAsia="nl-NL"/>
        </w:rPr>
      </w:pPr>
      <w:r>
        <w:rPr>
          <w:rFonts w:ascii="Cambria" w:eastAsia="Times New Roman" w:hAnsi="Cambria" w:cs="Arial"/>
          <w:b/>
          <w:bCs/>
          <w:color w:val="000000"/>
          <w:sz w:val="21"/>
          <w:szCs w:val="21"/>
          <w:lang w:eastAsia="nl-NL"/>
        </w:rPr>
        <w:t xml:space="preserve">Het erfrecht is een rechtsgebied vol valkuilen en is daarom een complex rechtsgebied. Neem bijvoorbeeld de volgende rechtsregel: </w:t>
      </w:r>
      <w:r w:rsidR="0019546E" w:rsidRPr="0019546E">
        <w:rPr>
          <w:rFonts w:ascii="Cambria" w:eastAsia="Times New Roman" w:hAnsi="Cambria" w:cs="Arial"/>
          <w:b/>
          <w:bCs/>
          <w:color w:val="000000"/>
          <w:sz w:val="21"/>
          <w:szCs w:val="21"/>
          <w:lang w:eastAsia="nl-NL"/>
        </w:rPr>
        <w:t xml:space="preserve">De echtgenoot en ieder kind hebben jegens elkaar recht op inzage in en afschrift van alle bescheiden en andere gegevensdragers, die zij voor de vaststelling van hun aanspraken behoeven. De daartoe strekkende inlichtingen worden door hen </w:t>
      </w:r>
      <w:proofErr w:type="spellStart"/>
      <w:r w:rsidR="0019546E" w:rsidRPr="0019546E">
        <w:rPr>
          <w:rFonts w:ascii="Cambria" w:eastAsia="Times New Roman" w:hAnsi="Cambria" w:cs="Arial"/>
          <w:b/>
          <w:bCs/>
          <w:color w:val="000000"/>
          <w:sz w:val="21"/>
          <w:szCs w:val="21"/>
          <w:lang w:eastAsia="nl-NL"/>
        </w:rPr>
        <w:t>desverzocht</w:t>
      </w:r>
      <w:proofErr w:type="spellEnd"/>
      <w:r w:rsidR="0019546E" w:rsidRPr="0019546E">
        <w:rPr>
          <w:rFonts w:ascii="Cambria" w:eastAsia="Times New Roman" w:hAnsi="Cambria" w:cs="Arial"/>
          <w:b/>
          <w:bCs/>
          <w:color w:val="000000"/>
          <w:sz w:val="21"/>
          <w:szCs w:val="21"/>
          <w:lang w:eastAsia="nl-NL"/>
        </w:rPr>
        <w:t xml:space="preserve"> verstrekt. Zij zijn jegens elkaar gehouden tot medewerking aan de verstrekking van inlichtingen door derden.</w:t>
      </w:r>
      <w:r w:rsidR="00D50184">
        <w:rPr>
          <w:rFonts w:ascii="Cambria" w:eastAsia="Times New Roman" w:hAnsi="Cambria" w:cs="Arial"/>
          <w:b/>
          <w:bCs/>
          <w:color w:val="000000"/>
          <w:sz w:val="21"/>
          <w:szCs w:val="21"/>
          <w:lang w:eastAsia="nl-NL"/>
        </w:rPr>
        <w:t xml:space="preserve"> – artikel 4:16 lid 4 BW.</w:t>
      </w:r>
    </w:p>
    <w:p w14:paraId="44FF2727" w14:textId="1C5FB89E" w:rsidR="0019546E" w:rsidRDefault="0019546E" w:rsidP="0019546E">
      <w:pPr>
        <w:rPr>
          <w:rFonts w:ascii="Cambria" w:eastAsia="Times New Roman" w:hAnsi="Cambria" w:cs="Arial"/>
          <w:color w:val="000000"/>
          <w:sz w:val="21"/>
          <w:szCs w:val="21"/>
          <w:lang w:eastAsia="nl-NL"/>
        </w:rPr>
      </w:pPr>
    </w:p>
    <w:p w14:paraId="1F3A4B62" w14:textId="3217C3DE" w:rsidR="009F32F8" w:rsidRPr="00D007EB" w:rsidRDefault="009F32F8" w:rsidP="0019546E">
      <w:pPr>
        <w:rPr>
          <w:rFonts w:ascii="Cambria" w:hAnsi="Cambria"/>
          <w:sz w:val="21"/>
          <w:szCs w:val="21"/>
        </w:rPr>
      </w:pPr>
      <w:r>
        <w:rPr>
          <w:rFonts w:ascii="Cambria" w:eastAsia="Times New Roman" w:hAnsi="Cambria" w:cs="Arial"/>
          <w:color w:val="000000"/>
          <w:sz w:val="21"/>
          <w:szCs w:val="21"/>
          <w:lang w:eastAsia="nl-NL"/>
        </w:rPr>
        <w:t xml:space="preserve">De hoofdregel is dat het maken van een boedelbeschrijving niet verplicht is. </w:t>
      </w:r>
      <w:r w:rsidR="00A9092F">
        <w:rPr>
          <w:rFonts w:ascii="Cambria" w:eastAsia="Times New Roman" w:hAnsi="Cambria" w:cs="Arial"/>
          <w:color w:val="000000"/>
          <w:sz w:val="21"/>
          <w:szCs w:val="21"/>
          <w:lang w:eastAsia="nl-NL"/>
        </w:rPr>
        <w:t xml:space="preserve">Dit komt omdat een passende sanctie moeilijk te bedenken is. </w:t>
      </w:r>
      <w:r>
        <w:rPr>
          <w:rFonts w:ascii="Cambria" w:eastAsia="Times New Roman" w:hAnsi="Cambria" w:cs="Arial"/>
          <w:color w:val="000000"/>
          <w:sz w:val="21"/>
          <w:szCs w:val="21"/>
          <w:lang w:eastAsia="nl-NL"/>
        </w:rPr>
        <w:t xml:space="preserve">Slechts </w:t>
      </w:r>
      <w:r w:rsidR="00A9092F">
        <w:rPr>
          <w:rFonts w:ascii="Cambria" w:eastAsia="Times New Roman" w:hAnsi="Cambria" w:cs="Arial"/>
          <w:color w:val="000000"/>
          <w:sz w:val="21"/>
          <w:szCs w:val="21"/>
          <w:lang w:eastAsia="nl-NL"/>
        </w:rPr>
        <w:t>onder specifieke omstandigheden is dit niet het geval.</w:t>
      </w:r>
      <w:r>
        <w:rPr>
          <w:rFonts w:ascii="Cambria" w:eastAsia="Times New Roman" w:hAnsi="Cambria" w:cs="Arial"/>
          <w:color w:val="000000"/>
          <w:sz w:val="21"/>
          <w:szCs w:val="21"/>
          <w:lang w:eastAsia="nl-NL"/>
        </w:rPr>
        <w:t xml:space="preserve"> Een kind of langstlevende kan natuurlijk wel alsnog om een boedelbeschrijving verzoeken. De vraag is of de vordering van een boedelbeschrijving een daad van (zuivere) aanvaarding van de nalatenschap vormt. Als dit zo is, zijn daar grote gevolgen aan verbonden.</w:t>
      </w:r>
      <w:r w:rsidR="00D007EB">
        <w:rPr>
          <w:rFonts w:ascii="Cambria" w:eastAsia="Times New Roman" w:hAnsi="Cambria" w:cs="Arial"/>
          <w:color w:val="000000"/>
          <w:sz w:val="21"/>
          <w:szCs w:val="21"/>
          <w:lang w:eastAsia="nl-NL"/>
        </w:rPr>
        <w:t xml:space="preserve"> </w:t>
      </w:r>
      <w:r w:rsidR="00D007EB" w:rsidRPr="003B1322">
        <w:rPr>
          <w:rFonts w:ascii="Cambria" w:hAnsi="Cambria"/>
          <w:sz w:val="21"/>
          <w:szCs w:val="21"/>
        </w:rPr>
        <w:t>Wij van Vijzelman Fiscaal Advies zijn gespecialiseerd in het fiscale, het civiele en het notariële recht en kunnen u dus op al deze (overlappende) gebieden van dienst zijn.</w:t>
      </w:r>
      <w:r w:rsidR="00D007EB">
        <w:rPr>
          <w:rFonts w:ascii="Cambria" w:hAnsi="Cambria"/>
          <w:sz w:val="21"/>
          <w:szCs w:val="21"/>
        </w:rPr>
        <w:t xml:space="preserve"> In dit stuk gaan wij in op de eigenschappen van de boedelbeschrijving.</w:t>
      </w:r>
    </w:p>
    <w:p w14:paraId="6D7B8826" w14:textId="0FB0BE8C" w:rsidR="009F32F8" w:rsidRDefault="009F32F8" w:rsidP="0019546E">
      <w:pPr>
        <w:rPr>
          <w:rFonts w:ascii="Cambria" w:eastAsia="Times New Roman" w:hAnsi="Cambria" w:cs="Arial"/>
          <w:color w:val="000000"/>
          <w:sz w:val="21"/>
          <w:szCs w:val="21"/>
          <w:lang w:eastAsia="nl-NL"/>
        </w:rPr>
      </w:pPr>
    </w:p>
    <w:p w14:paraId="0A8AA953" w14:textId="02CC4F6F" w:rsidR="00D007EB" w:rsidRPr="00D007EB" w:rsidRDefault="00D50184" w:rsidP="0019546E">
      <w:pPr>
        <w:rPr>
          <w:rFonts w:ascii="Cambria" w:eastAsia="Times New Roman" w:hAnsi="Cambria" w:cs="Arial"/>
          <w:b/>
          <w:bCs/>
          <w:color w:val="000000"/>
          <w:sz w:val="21"/>
          <w:szCs w:val="21"/>
          <w:lang w:eastAsia="nl-NL"/>
        </w:rPr>
      </w:pPr>
      <w:r>
        <w:rPr>
          <w:rFonts w:ascii="Cambria" w:eastAsia="Times New Roman" w:hAnsi="Cambria" w:cs="Arial"/>
          <w:b/>
          <w:bCs/>
          <w:color w:val="000000"/>
          <w:sz w:val="21"/>
          <w:szCs w:val="21"/>
          <w:lang w:eastAsia="nl-NL"/>
        </w:rPr>
        <w:t>Noodzaak</w:t>
      </w:r>
    </w:p>
    <w:p w14:paraId="545F81E0" w14:textId="47E08A1F" w:rsidR="009F32F8" w:rsidRDefault="009F32F8" w:rsidP="0019546E">
      <w:pPr>
        <w:rPr>
          <w:rFonts w:ascii="Cambria" w:eastAsia="Times New Roman" w:hAnsi="Cambria" w:cs="Arial"/>
          <w:color w:val="000000"/>
          <w:sz w:val="21"/>
          <w:szCs w:val="21"/>
          <w:lang w:eastAsia="nl-NL"/>
        </w:rPr>
      </w:pPr>
      <w:r>
        <w:rPr>
          <w:rFonts w:ascii="Cambria" w:eastAsia="Times New Roman" w:hAnsi="Cambria" w:cs="Arial"/>
          <w:color w:val="000000"/>
          <w:sz w:val="21"/>
          <w:szCs w:val="21"/>
          <w:lang w:eastAsia="nl-NL"/>
        </w:rPr>
        <w:t xml:space="preserve">Het maken van een boedelbeschrijving is verstandig, omdat de omvang van de vorderingen van de kinderen op de langstlevende overeenkomt met de waarde van ieders erfdeel. Daarnaast wordt het in onderling overleg vastgesteld. </w:t>
      </w:r>
      <w:r w:rsidR="00A9092F">
        <w:rPr>
          <w:rFonts w:ascii="Cambria" w:eastAsia="Times New Roman" w:hAnsi="Cambria" w:cs="Arial"/>
          <w:color w:val="000000"/>
          <w:sz w:val="21"/>
          <w:szCs w:val="21"/>
          <w:lang w:eastAsia="nl-NL"/>
        </w:rPr>
        <w:t xml:space="preserve">Een boedelbeschrijving biedt dan de mogelijkheid om de hoogte van de geldvordering van de kinderen vast te stellen. </w:t>
      </w:r>
    </w:p>
    <w:p w14:paraId="0C1F9F88" w14:textId="1E18B912" w:rsidR="00A9092F" w:rsidRDefault="00A9092F" w:rsidP="0019546E">
      <w:pPr>
        <w:rPr>
          <w:rFonts w:ascii="Cambria" w:eastAsia="Times New Roman" w:hAnsi="Cambria" w:cs="Arial"/>
          <w:color w:val="000000"/>
          <w:sz w:val="21"/>
          <w:szCs w:val="21"/>
          <w:lang w:eastAsia="nl-NL"/>
        </w:rPr>
      </w:pPr>
    </w:p>
    <w:p w14:paraId="3580A5F5" w14:textId="5C16C76D" w:rsidR="00D007EB" w:rsidRPr="00D007EB" w:rsidRDefault="00D007EB" w:rsidP="0019546E">
      <w:pPr>
        <w:rPr>
          <w:rFonts w:ascii="Cambria" w:eastAsia="Times New Roman" w:hAnsi="Cambria" w:cs="Arial"/>
          <w:b/>
          <w:bCs/>
          <w:color w:val="000000"/>
          <w:sz w:val="21"/>
          <w:szCs w:val="21"/>
          <w:lang w:eastAsia="nl-NL"/>
        </w:rPr>
      </w:pPr>
      <w:r>
        <w:rPr>
          <w:rFonts w:ascii="Cambria" w:eastAsia="Times New Roman" w:hAnsi="Cambria" w:cs="Arial"/>
          <w:b/>
          <w:bCs/>
          <w:color w:val="000000"/>
          <w:sz w:val="21"/>
          <w:szCs w:val="21"/>
          <w:lang w:eastAsia="nl-NL"/>
        </w:rPr>
        <w:t>Plicht</w:t>
      </w:r>
    </w:p>
    <w:p w14:paraId="5D398C95" w14:textId="3C5B08EF" w:rsidR="00A9092F" w:rsidRDefault="00A9092F" w:rsidP="0019546E">
      <w:pPr>
        <w:rPr>
          <w:rFonts w:ascii="Cambria" w:eastAsia="Times New Roman" w:hAnsi="Cambria" w:cs="Arial"/>
          <w:color w:val="000000"/>
          <w:sz w:val="21"/>
          <w:szCs w:val="21"/>
          <w:lang w:eastAsia="nl-NL"/>
        </w:rPr>
      </w:pPr>
      <w:r>
        <w:rPr>
          <w:rFonts w:ascii="Cambria" w:eastAsia="Times New Roman" w:hAnsi="Cambria" w:cs="Arial"/>
          <w:color w:val="000000"/>
          <w:sz w:val="21"/>
          <w:szCs w:val="21"/>
          <w:lang w:eastAsia="nl-NL"/>
        </w:rPr>
        <w:t>Een bedoelbeschrijving is in enkele situaties wel verplicht. In eerste instantie is dat het geval wanneer op verlangen van de langstlevende en ieder kind een boedelbeschrijving wordt opgemaakt. Dit volgt uit artikel 4:16 lid 1 BW.</w:t>
      </w:r>
    </w:p>
    <w:p w14:paraId="0B729BCF" w14:textId="243B4DE8" w:rsidR="00A9092F" w:rsidRDefault="00A9092F" w:rsidP="0019546E">
      <w:pPr>
        <w:rPr>
          <w:rFonts w:ascii="Cambria" w:eastAsia="Times New Roman" w:hAnsi="Cambria" w:cs="Arial"/>
          <w:color w:val="000000"/>
          <w:sz w:val="21"/>
          <w:szCs w:val="21"/>
          <w:lang w:eastAsia="nl-NL"/>
        </w:rPr>
      </w:pPr>
      <w:r>
        <w:rPr>
          <w:rFonts w:ascii="Cambria" w:eastAsia="Times New Roman" w:hAnsi="Cambria" w:cs="Arial"/>
          <w:color w:val="000000"/>
          <w:sz w:val="21"/>
          <w:szCs w:val="21"/>
          <w:lang w:eastAsia="nl-NL"/>
        </w:rPr>
        <w:t>In tweede instantie is er sprake van een verplichte boedelbeschrijving als de langstlevende echtgenoot of een kind niet het vrije beheer heeft over zijn vermogen. Dit volgt uit artikel 4:16 lid 2 BW.</w:t>
      </w:r>
    </w:p>
    <w:p w14:paraId="1228734F" w14:textId="2514DD65" w:rsidR="00A9092F" w:rsidRDefault="00A9092F" w:rsidP="0019546E">
      <w:pPr>
        <w:rPr>
          <w:rFonts w:ascii="Cambria" w:eastAsia="Times New Roman" w:hAnsi="Cambria" w:cs="Arial"/>
          <w:color w:val="000000"/>
          <w:sz w:val="21"/>
          <w:szCs w:val="21"/>
          <w:lang w:eastAsia="nl-NL"/>
        </w:rPr>
      </w:pPr>
    </w:p>
    <w:p w14:paraId="2C7E4263" w14:textId="30D2B28E" w:rsidR="00D007EB" w:rsidRPr="00D007EB" w:rsidRDefault="00D007EB" w:rsidP="0019546E">
      <w:pPr>
        <w:rPr>
          <w:rFonts w:ascii="Cambria" w:eastAsia="Times New Roman" w:hAnsi="Cambria" w:cs="Arial"/>
          <w:b/>
          <w:bCs/>
          <w:color w:val="000000"/>
          <w:sz w:val="21"/>
          <w:szCs w:val="21"/>
          <w:lang w:eastAsia="nl-NL"/>
        </w:rPr>
      </w:pPr>
      <w:r>
        <w:rPr>
          <w:rFonts w:ascii="Cambria" w:eastAsia="Times New Roman" w:hAnsi="Cambria" w:cs="Arial"/>
          <w:b/>
          <w:bCs/>
          <w:color w:val="000000"/>
          <w:sz w:val="21"/>
          <w:szCs w:val="21"/>
          <w:lang w:eastAsia="nl-NL"/>
        </w:rPr>
        <w:t>Vormvereisten</w:t>
      </w:r>
    </w:p>
    <w:p w14:paraId="2974045E" w14:textId="12897611" w:rsidR="00A9092F" w:rsidRDefault="00A9092F" w:rsidP="0019546E">
      <w:pPr>
        <w:rPr>
          <w:rFonts w:ascii="Cambria" w:eastAsia="Times New Roman" w:hAnsi="Cambria" w:cs="Arial"/>
          <w:color w:val="000000"/>
          <w:sz w:val="21"/>
          <w:szCs w:val="21"/>
          <w:lang w:eastAsia="nl-NL"/>
        </w:rPr>
      </w:pPr>
      <w:r>
        <w:rPr>
          <w:rFonts w:ascii="Cambria" w:eastAsia="Times New Roman" w:hAnsi="Cambria" w:cs="Arial"/>
          <w:color w:val="000000"/>
          <w:sz w:val="21"/>
          <w:szCs w:val="21"/>
          <w:lang w:eastAsia="nl-NL"/>
        </w:rPr>
        <w:t>Een boedelbeschrijving kent een aantal vormvereisten</w:t>
      </w:r>
      <w:r w:rsidR="001848EF">
        <w:rPr>
          <w:rFonts w:ascii="Cambria" w:eastAsia="Times New Roman" w:hAnsi="Cambria" w:cs="Arial"/>
          <w:color w:val="000000"/>
          <w:sz w:val="21"/>
          <w:szCs w:val="21"/>
          <w:lang w:eastAsia="nl-NL"/>
        </w:rPr>
        <w:t xml:space="preserve">. Zo dient een voorgeschreven boedelbeschrijving plaats te vinden bij onderhandse akte. </w:t>
      </w:r>
      <w:r w:rsidR="00D50184">
        <w:rPr>
          <w:rFonts w:ascii="Cambria" w:eastAsia="Times New Roman" w:hAnsi="Cambria" w:cs="Arial"/>
          <w:color w:val="000000"/>
          <w:sz w:val="21"/>
          <w:szCs w:val="21"/>
          <w:lang w:eastAsia="nl-NL"/>
        </w:rPr>
        <w:t xml:space="preserve">Dat betekent onder meer dat er een eed wordt afgelegd. </w:t>
      </w:r>
      <w:r w:rsidR="001848EF">
        <w:rPr>
          <w:rFonts w:ascii="Cambria" w:eastAsia="Times New Roman" w:hAnsi="Cambria" w:cs="Arial"/>
          <w:color w:val="000000"/>
          <w:sz w:val="21"/>
          <w:szCs w:val="21"/>
          <w:lang w:eastAsia="nl-NL"/>
        </w:rPr>
        <w:t xml:space="preserve">In alle andere gevallen bij notariële akte. Artikel 4:16 lid 2 kent hierop een uitzondering </w:t>
      </w:r>
      <w:r w:rsidR="00D007EB">
        <w:rPr>
          <w:rFonts w:ascii="Cambria" w:eastAsia="Times New Roman" w:hAnsi="Cambria" w:cs="Arial"/>
          <w:color w:val="000000"/>
          <w:sz w:val="21"/>
          <w:szCs w:val="21"/>
          <w:lang w:eastAsia="nl-NL"/>
        </w:rPr>
        <w:t>als de wettelijke verdeling van kracht is. Als een langstlevende en/of een kind niet het vrije beheer heeft, dient de wettelijke vertegenwoordiger een boedelbeschrijving in te dienen ter griffie bij de rechtbank. Dit kan ook in onderhandse vorm. De kantonrechter hoeft de voorgeschreven boedelbeschrijving dan niet goed te keuren.</w:t>
      </w:r>
    </w:p>
    <w:p w14:paraId="5B7AC230" w14:textId="73101768" w:rsidR="00D007EB" w:rsidRDefault="00D007EB" w:rsidP="0019546E">
      <w:pPr>
        <w:rPr>
          <w:rFonts w:ascii="Cambria" w:eastAsia="Times New Roman" w:hAnsi="Cambria" w:cs="Arial"/>
          <w:color w:val="000000"/>
          <w:sz w:val="21"/>
          <w:szCs w:val="21"/>
          <w:lang w:eastAsia="nl-NL"/>
        </w:rPr>
      </w:pPr>
      <w:r>
        <w:rPr>
          <w:rFonts w:ascii="Cambria" w:eastAsia="Times New Roman" w:hAnsi="Cambria" w:cs="Arial"/>
          <w:color w:val="000000"/>
          <w:sz w:val="21"/>
          <w:szCs w:val="21"/>
          <w:lang w:eastAsia="nl-NL"/>
        </w:rPr>
        <w:t>De kantonrechter heeft wel een andere taak. Deze kan te allen tijde zekerheidsstelling bevelen indien de ouder curator is van het kind of de ouder het bewind over de goederen van het kind voert. Een rechter zal dit doen als signalen van het kind of derden duiden op verkwisting, waardoor verzorging in gedrang komt. Het gaat dan vooral om de bescherming van minderjarigen en de zorg van hun vermogen.</w:t>
      </w:r>
    </w:p>
    <w:p w14:paraId="434380CB" w14:textId="66720EFC" w:rsidR="00D007EB" w:rsidRDefault="00D50184" w:rsidP="0019546E">
      <w:pPr>
        <w:rPr>
          <w:rFonts w:ascii="Cambria" w:eastAsia="Times New Roman" w:hAnsi="Cambria" w:cs="Arial"/>
          <w:color w:val="000000"/>
          <w:sz w:val="21"/>
          <w:szCs w:val="21"/>
          <w:lang w:eastAsia="nl-NL"/>
        </w:rPr>
      </w:pPr>
      <w:r>
        <w:rPr>
          <w:rFonts w:ascii="Cambria" w:eastAsia="Times New Roman" w:hAnsi="Cambria" w:cs="Arial"/>
          <w:color w:val="000000"/>
          <w:sz w:val="21"/>
          <w:szCs w:val="21"/>
          <w:lang w:eastAsia="nl-NL"/>
        </w:rPr>
        <w:t>De overige (formele) vormvereisten staan genoteerd in artikel 674 Rv. Hierbij is het verplicht dat er een waardering is van de goederen en schulden van de nalatenschap. Bij een eventuele schending van de vormvereisten is er geen duidelijke sanctie. Het is aan de rechter overgelaten of een bepaalde akte als boedelbeschrijving kan worden beschouwd.</w:t>
      </w:r>
    </w:p>
    <w:p w14:paraId="40B5C48B" w14:textId="7DDC4804" w:rsidR="00A406CB" w:rsidRDefault="00A406CB" w:rsidP="0019546E">
      <w:pPr>
        <w:rPr>
          <w:rFonts w:ascii="Cambria" w:eastAsia="Times New Roman" w:hAnsi="Cambria" w:cs="Arial"/>
          <w:color w:val="000000"/>
          <w:sz w:val="21"/>
          <w:szCs w:val="21"/>
          <w:lang w:eastAsia="nl-NL"/>
        </w:rPr>
      </w:pPr>
      <w:r>
        <w:rPr>
          <w:rFonts w:ascii="Cambria" w:eastAsia="Times New Roman" w:hAnsi="Cambria" w:cs="Arial"/>
          <w:color w:val="000000"/>
          <w:sz w:val="21"/>
          <w:szCs w:val="21"/>
          <w:lang w:eastAsia="nl-NL"/>
        </w:rPr>
        <w:t>In de uitspraak van het Gerechtshof Arnhem-Leeuwarden op 6 oktober 2016 is voorts een ander mogelijk vormvoorschrift opgenomen. In deze uitspraak is bepaald dat alleen al het opstellen van een aangifte voor de erfbelasting kan gelden als een voldoende adequate boedelbeschrijving. Hierin moeten de goederen en schulden die tot het nalatenschap behoren vermeld zijn.</w:t>
      </w:r>
    </w:p>
    <w:p w14:paraId="75FCF2F4" w14:textId="040177B3" w:rsidR="00D007EB" w:rsidRDefault="00D007EB" w:rsidP="0019546E">
      <w:pPr>
        <w:rPr>
          <w:rFonts w:ascii="Cambria" w:eastAsia="Times New Roman" w:hAnsi="Cambria" w:cs="Arial"/>
          <w:color w:val="000000"/>
          <w:sz w:val="21"/>
          <w:szCs w:val="21"/>
          <w:lang w:eastAsia="nl-NL"/>
        </w:rPr>
      </w:pPr>
    </w:p>
    <w:p w14:paraId="3F9C80E7" w14:textId="358F4880" w:rsidR="00D50184" w:rsidRDefault="00D50184" w:rsidP="0019546E">
      <w:pPr>
        <w:rPr>
          <w:rFonts w:ascii="Cambria" w:eastAsia="Times New Roman" w:hAnsi="Cambria" w:cs="Arial"/>
          <w:b/>
          <w:bCs/>
          <w:color w:val="000000"/>
          <w:sz w:val="21"/>
          <w:szCs w:val="21"/>
          <w:lang w:eastAsia="nl-NL"/>
        </w:rPr>
      </w:pPr>
      <w:r>
        <w:rPr>
          <w:rFonts w:ascii="Cambria" w:eastAsia="Times New Roman" w:hAnsi="Cambria" w:cs="Arial"/>
          <w:b/>
          <w:bCs/>
          <w:color w:val="000000"/>
          <w:sz w:val="21"/>
          <w:szCs w:val="21"/>
          <w:lang w:eastAsia="nl-NL"/>
        </w:rPr>
        <w:t>Inlichtingen</w:t>
      </w:r>
    </w:p>
    <w:p w14:paraId="59880B82" w14:textId="2B9BA1A4" w:rsidR="00D50184" w:rsidRDefault="00D50184" w:rsidP="0019546E">
      <w:pPr>
        <w:rPr>
          <w:rFonts w:ascii="Cambria" w:eastAsia="Times New Roman" w:hAnsi="Cambria" w:cs="Arial"/>
          <w:color w:val="000000"/>
          <w:sz w:val="21"/>
          <w:szCs w:val="21"/>
          <w:lang w:eastAsia="nl-NL"/>
        </w:rPr>
      </w:pPr>
      <w:r>
        <w:rPr>
          <w:rFonts w:ascii="Cambria" w:eastAsia="Times New Roman" w:hAnsi="Cambria" w:cs="Arial"/>
          <w:color w:val="000000"/>
          <w:sz w:val="21"/>
          <w:szCs w:val="21"/>
          <w:lang w:eastAsia="nl-NL"/>
        </w:rPr>
        <w:t xml:space="preserve">Op basis van artikel 4:16 lid 4 zijn de langstlevende en ieder van de kinderen jegens elkaar verplicht om inzage in en afschrift van de bescheiden </w:t>
      </w:r>
      <w:r w:rsidR="004406CA">
        <w:rPr>
          <w:rFonts w:ascii="Cambria" w:eastAsia="Times New Roman" w:hAnsi="Cambria" w:cs="Arial"/>
          <w:color w:val="000000"/>
          <w:sz w:val="21"/>
          <w:szCs w:val="21"/>
          <w:lang w:eastAsia="nl-NL"/>
        </w:rPr>
        <w:t>en andere gegevensdragers te verschaffen. Deze plicht geldt ook jegens derden. In de jurisprudentie is bepaald dat de verplichting geldt ten opzichte van alle deelgenoten, zodat niet volstaan kan worden met het verschaffen aan slechts één van hen.</w:t>
      </w:r>
    </w:p>
    <w:p w14:paraId="006D9A44" w14:textId="77777777" w:rsidR="004406CA" w:rsidRPr="00D50184" w:rsidRDefault="004406CA" w:rsidP="0019546E">
      <w:pPr>
        <w:rPr>
          <w:rFonts w:ascii="Cambria" w:eastAsia="Times New Roman" w:hAnsi="Cambria" w:cs="Arial"/>
          <w:color w:val="000000"/>
          <w:sz w:val="21"/>
          <w:szCs w:val="21"/>
          <w:lang w:eastAsia="nl-NL"/>
        </w:rPr>
      </w:pPr>
    </w:p>
    <w:p w14:paraId="4759C7A6" w14:textId="2A5FFDE8" w:rsidR="00D007EB" w:rsidRPr="00D50184" w:rsidRDefault="00D50184" w:rsidP="0019546E">
      <w:pPr>
        <w:rPr>
          <w:rFonts w:ascii="Cambria" w:eastAsia="Times New Roman" w:hAnsi="Cambria" w:cs="Arial"/>
          <w:b/>
          <w:bCs/>
          <w:color w:val="000000"/>
          <w:sz w:val="21"/>
          <w:szCs w:val="21"/>
          <w:lang w:eastAsia="nl-NL"/>
        </w:rPr>
      </w:pPr>
      <w:r>
        <w:rPr>
          <w:rFonts w:ascii="Cambria" w:eastAsia="Times New Roman" w:hAnsi="Cambria" w:cs="Arial"/>
          <w:b/>
          <w:bCs/>
          <w:color w:val="000000"/>
          <w:sz w:val="21"/>
          <w:szCs w:val="21"/>
          <w:lang w:eastAsia="nl-NL"/>
        </w:rPr>
        <w:t>Vijzelman Fiscaal Advies</w:t>
      </w:r>
    </w:p>
    <w:p w14:paraId="36D4AB8F" w14:textId="1E9B1687" w:rsidR="0019546E" w:rsidRPr="0019546E" w:rsidRDefault="0019546E" w:rsidP="00D50184">
      <w:pPr>
        <w:rPr>
          <w:rFonts w:ascii="Cambria" w:hAnsi="Cambria"/>
          <w:sz w:val="21"/>
          <w:szCs w:val="21"/>
        </w:rPr>
      </w:pPr>
      <w:r>
        <w:rPr>
          <w:rFonts w:ascii="Cambria" w:hAnsi="Cambria"/>
          <w:sz w:val="21"/>
          <w:szCs w:val="21"/>
        </w:rPr>
        <w:t>Het erfrecht is een ingewikkeld onderdeel binnen het privaatrecht. Om dit rechtsgebied zo goed mogelijk te navigeren en te voorkomen dat u voor verrassingen komt te staan, is het belangrijk om van de juiste kennis voorzien te zijn. Vijzelman is een prijswinnend advieskantoor met een 3-in-1 combinatie betreffende de belangrijkste rechtsgebieden. Voor advies in het kader van het erfrecht bent u bij ons dus op het juiste adres.</w:t>
      </w:r>
    </w:p>
    <w:sectPr w:rsidR="0019546E" w:rsidRPr="0019546E" w:rsidSect="00CF02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6E"/>
    <w:rsid w:val="001848EF"/>
    <w:rsid w:val="0019546E"/>
    <w:rsid w:val="004406CA"/>
    <w:rsid w:val="00760E8B"/>
    <w:rsid w:val="009F32F8"/>
    <w:rsid w:val="00A406CB"/>
    <w:rsid w:val="00A9092F"/>
    <w:rsid w:val="00CF02F6"/>
    <w:rsid w:val="00D007EB"/>
    <w:rsid w:val="00D50184"/>
    <w:rsid w:val="00E72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7268"/>
  <w15:chartTrackingRefBased/>
  <w15:docId w15:val="{A9A37CD6-B5B5-BB4D-BBFD-646C3DDC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5237">
      <w:bodyDiv w:val="1"/>
      <w:marLeft w:val="0"/>
      <w:marRight w:val="0"/>
      <w:marTop w:val="0"/>
      <w:marBottom w:val="0"/>
      <w:divBdr>
        <w:top w:val="none" w:sz="0" w:space="0" w:color="auto"/>
        <w:left w:val="none" w:sz="0" w:space="0" w:color="auto"/>
        <w:bottom w:val="none" w:sz="0" w:space="0" w:color="auto"/>
        <w:right w:val="none" w:sz="0" w:space="0" w:color="auto"/>
      </w:divBdr>
      <w:divsChild>
        <w:div w:id="1924532719">
          <w:marLeft w:val="0"/>
          <w:marRight w:val="0"/>
          <w:marTop w:val="0"/>
          <w:marBottom w:val="0"/>
          <w:divBdr>
            <w:top w:val="none" w:sz="0" w:space="0" w:color="auto"/>
            <w:left w:val="none" w:sz="0" w:space="0" w:color="auto"/>
            <w:bottom w:val="none" w:sz="0" w:space="0" w:color="auto"/>
            <w:right w:val="none" w:sz="0" w:space="0" w:color="auto"/>
          </w:divBdr>
          <w:divsChild>
            <w:div w:id="224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718</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Essebai</dc:creator>
  <cp:keywords/>
  <dc:description/>
  <cp:lastModifiedBy>Vijzelman Fiscaal advies</cp:lastModifiedBy>
  <cp:revision>2</cp:revision>
  <dcterms:created xsi:type="dcterms:W3CDTF">2023-01-15T20:43:00Z</dcterms:created>
  <dcterms:modified xsi:type="dcterms:W3CDTF">2023-01-15T20:43:00Z</dcterms:modified>
</cp:coreProperties>
</file>